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93" w:rsidRDefault="005C5476" w:rsidP="002D1993">
      <w:pPr>
        <w:pStyle w:val="Title"/>
      </w:pPr>
      <w:r>
        <w:t>DDI</w:t>
      </w:r>
      <w:r w:rsidR="002D1993">
        <w:t xml:space="preserve"> Exampl</w:t>
      </w:r>
      <w:r>
        <w:t>e of Use: [</w:t>
      </w:r>
      <w:r w:rsidR="00653AE7">
        <w:t>Aggregate Data</w:t>
      </w:r>
      <w:r w:rsidR="00F92A42">
        <w:t>]</w:t>
      </w:r>
    </w:p>
    <w:p w:rsidR="002D1993" w:rsidRDefault="002D1993" w:rsidP="002D1993">
      <w:r>
        <w:t>Contributors:</w:t>
      </w:r>
    </w:p>
    <w:p w:rsidR="002D1993" w:rsidRDefault="002D1993" w:rsidP="002D1993">
      <w:pPr>
        <w:pStyle w:val="Heading1"/>
        <w:numPr>
          <w:ilvl w:val="0"/>
          <w:numId w:val="1"/>
        </w:numPr>
      </w:pPr>
      <w:r>
        <w:t>Business Case</w:t>
      </w:r>
    </w:p>
    <w:p w:rsidR="00890D85" w:rsidRDefault="00031247" w:rsidP="00890D85">
      <w:r>
        <w:t>DDI-Views needs to be able to describe “aggregate files” also known as “</w:t>
      </w:r>
      <w:proofErr w:type="spellStart"/>
      <w:r>
        <w:t>Ncubes</w:t>
      </w:r>
      <w:proofErr w:type="spellEnd"/>
      <w:r>
        <w:t xml:space="preserve">”. In this example, using the Australian Election Study 2013 data, </w:t>
      </w:r>
      <w:r w:rsidR="00107893">
        <w:t xml:space="preserve">unweighted </w:t>
      </w:r>
      <w:r>
        <w:t>statistics on the variable G1AGE were computed for all combinations of the variables A4 and STATE (see the SQL query below).</w:t>
      </w:r>
    </w:p>
    <w:p w:rsidR="00031247" w:rsidRDefault="00031247" w:rsidP="00890D85">
      <w:r>
        <w:rPr>
          <w:noProof/>
        </w:rPr>
        <w:drawing>
          <wp:inline distT="0" distB="0" distL="0" distR="0">
            <wp:extent cx="2956816" cy="17832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4C4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Default="00107893" w:rsidP="00890D85">
      <w:r>
        <w:rPr>
          <w:noProof/>
        </w:rPr>
        <w:drawing>
          <wp:inline distT="0" distB="0" distL="0" distR="0">
            <wp:extent cx="3551228" cy="2255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4BF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2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Default="00107893" w:rsidP="00890D85">
      <w:r>
        <w:rPr>
          <w:noProof/>
        </w:rPr>
        <w:drawing>
          <wp:inline distT="0" distB="0" distL="0" distR="0">
            <wp:extent cx="4747671" cy="94496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46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93" w:rsidRPr="00890D85" w:rsidRDefault="00107893" w:rsidP="00890D85"/>
    <w:p w:rsidR="00031247" w:rsidRDefault="00031247" w:rsidP="002D1993">
      <w:pPr>
        <w:pStyle w:val="Heading1"/>
        <w:numPr>
          <w:ilvl w:val="0"/>
          <w:numId w:val="1"/>
        </w:numPr>
      </w:pPr>
      <w:r>
        <w:lastRenderedPageBreak/>
        <w:t>Data Preparation</w:t>
      </w:r>
    </w:p>
    <w:p w:rsidR="00031247" w:rsidRDefault="00031247" w:rsidP="00031247">
      <w:r>
        <w:t xml:space="preserve">The following SAS program was used to prepare the data from the </w:t>
      </w:r>
      <w:r w:rsidRPr="00031247">
        <w:t>aes_2013_01259</w:t>
      </w:r>
      <w:r>
        <w:t>.csv file: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libname</w:t>
      </w:r>
      <w:proofErr w:type="spellEnd"/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Friday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"C:\DDRIVE\projects\various\Dagstuhl\2016\week2\DataDescriptionExamples\DataDescriptionExamples\Friday"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IMPORT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OUT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WORK.AESwhole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DATAFILE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taDescriptionExamples\DataDescriptionExamples\Friday\aes_2013_01259.csv"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DBMS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=CSV REPLACE;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GETNAMES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=YES;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DATAROW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=</w:t>
      </w:r>
      <w:r w:rsidRPr="0003124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Friday.aes_2013_01259SubsetF;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set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work.AESwhole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keep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DivisNum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UniqueID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DateComp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State Division A4 G1Age XG5 Weight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PartyABY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SwingN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sql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create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table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Friday.AES_Agregate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select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A4, State, mean(G1Age)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MeanG1Age, Min(G1Age)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MinG1Age, Max(G1Age)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MaxG1Age, count(</w:t>
      </w:r>
      <w:r w:rsidR="00EF6C4B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G1Age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)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as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N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from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Friday.aes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_2013_01259SubsetF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group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by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a4, State;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quit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EXPORT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DATA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proofErr w:type="spell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FRIDAY.Aes_agregate</w:t>
      </w:r>
      <w:proofErr w:type="spell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OUTFILE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 </w:t>
      </w: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"C:\DDRIVE\projects\various\Dagstuhl\2016\week2\Dat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aDescriptionExamples\DataDescriptionExamples\Friday\AESaggregate.csv"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DBMS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=CSV </w:t>
      </w:r>
      <w:r w:rsidRPr="00031247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REPLACE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Pr="00031247" w:rsidRDefault="00031247" w:rsidP="00031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PUTNAMES=YES;</w:t>
      </w:r>
    </w:p>
    <w:p w:rsidR="00031247" w:rsidRDefault="00031247" w:rsidP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031247" w:rsidRDefault="00031247" w:rsidP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31247" w:rsidRDefault="0003124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 w:type="page"/>
      </w:r>
    </w:p>
    <w:p w:rsidR="00031247" w:rsidRPr="00031247" w:rsidRDefault="00031247" w:rsidP="00031247">
      <w:pPr>
        <w:rPr>
          <w:sz w:val="18"/>
          <w:szCs w:val="18"/>
        </w:rPr>
      </w:pPr>
    </w:p>
    <w:p w:rsidR="002D1993" w:rsidRDefault="002D1993" w:rsidP="002D1993">
      <w:pPr>
        <w:pStyle w:val="Heading1"/>
        <w:numPr>
          <w:ilvl w:val="0"/>
          <w:numId w:val="1"/>
        </w:numPr>
      </w:pPr>
      <w:r>
        <w:t>Relevant Objects from the Model</w:t>
      </w:r>
    </w:p>
    <w:p w:rsidR="00890D85" w:rsidRDefault="00890D85" w:rsidP="00890D85"/>
    <w:p w:rsidR="00B8101C" w:rsidRPr="00317272" w:rsidRDefault="00B8101C" w:rsidP="00B8101C">
      <w:pPr>
        <w:pStyle w:val="Heading2"/>
        <w:numPr>
          <w:ilvl w:val="0"/>
          <w:numId w:val="2"/>
        </w:numPr>
        <w:spacing w:before="200"/>
      </w:pPr>
      <w:r>
        <w:t>Minimum Description Set</w:t>
      </w:r>
    </w:p>
    <w:p w:rsidR="00B8101C" w:rsidRDefault="00B8101C" w:rsidP="00B8101C">
      <w:pPr>
        <w:pStyle w:val="Heading2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78"/>
        <w:gridCol w:w="6840"/>
        <w:gridCol w:w="1458"/>
      </w:tblGrid>
      <w:tr w:rsidR="00B8101C" w:rsidTr="00C6606D">
        <w:tc>
          <w:tcPr>
            <w:tcW w:w="1278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840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1458" w:type="dxa"/>
          </w:tcPr>
          <w:p w:rsidR="00B8101C" w:rsidRPr="00B556FD" w:rsidRDefault="00B8101C" w:rsidP="00C6606D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name</w:t>
            </w:r>
          </w:p>
        </w:tc>
        <w:tc>
          <w:tcPr>
            <w:tcW w:w="6840" w:type="dxa"/>
          </w:tcPr>
          <w:p w:rsidR="00B8101C" w:rsidRDefault="00B8101C" w:rsidP="00C6606D">
            <w:r>
              <w:t>InstanceVariable.name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label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InstanceVariable.displayLabel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type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value format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ValueMapping.physicalDataType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Variable value range</w:t>
            </w:r>
          </w:p>
        </w:tc>
        <w:tc>
          <w:tcPr>
            <w:tcW w:w="6840" w:type="dxa"/>
          </w:tcPr>
          <w:p w:rsidR="00B8101C" w:rsidRDefault="00B8101C" w:rsidP="00C6606D">
            <w:r>
              <w:t>InstanceVariable.takesSubstantiveValuesFrom.DescribedValueDomain.minimumValueInclusive/minimumValueExclusive/maximumValueInclusive/maximumValueExclusive</w:t>
            </w:r>
          </w:p>
        </w:tc>
        <w:tc>
          <w:tcPr>
            <w:tcW w:w="1458" w:type="dxa"/>
          </w:tcPr>
          <w:p w:rsidR="00B8101C" w:rsidRDefault="00B8101C" w:rsidP="00C6606D">
            <w:r>
              <w:t xml:space="preserve">Broken? Could be modeled as a class which allows for repeating segments within a range. Could change the </w:t>
            </w:r>
            <w:proofErr w:type="spellStart"/>
            <w:r>
              <w:t>SubstantiveValueDomain.DescribedValueDomain</w:t>
            </w:r>
            <w:proofErr w:type="spellEnd"/>
            <w:r>
              <w:t xml:space="preserve"> cardinality to 0..n </w:t>
            </w:r>
            <w:proofErr w:type="spellStart"/>
            <w:r>
              <w:t>0..n</w:t>
            </w:r>
            <w:proofErr w:type="spellEnd"/>
            <w:r>
              <w:t xml:space="preserve">. Same for </w:t>
            </w:r>
            <w:proofErr w:type="spellStart"/>
            <w:r>
              <w:t>SentinelValueDomain</w:t>
            </w:r>
            <w:proofErr w:type="spellEnd"/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Missing value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Statistics</w:t>
            </w:r>
          </w:p>
        </w:tc>
        <w:tc>
          <w:tcPr>
            <w:tcW w:w="6840" w:type="dxa"/>
          </w:tcPr>
          <w:p w:rsidR="00B8101C" w:rsidRDefault="00B8101C" w:rsidP="00C6606D">
            <w:r w:rsidRPr="00D34E23">
              <w:rPr>
                <w:color w:val="FF0000"/>
              </w:rPr>
              <w:t xml:space="preserve">Not in the model, other than the </w:t>
            </w:r>
            <w:proofErr w:type="spellStart"/>
            <w:r w:rsidRPr="00D34E23">
              <w:rPr>
                <w:color w:val="FF0000"/>
              </w:rPr>
              <w:t>StatisticalSummary</w:t>
            </w:r>
            <w:proofErr w:type="spellEnd"/>
            <w:r w:rsidRPr="00D34E23">
              <w:rPr>
                <w:color w:val="FF0000"/>
              </w:rPr>
              <w:t xml:space="preserve"> class in the “Keep” package</w:t>
            </w:r>
          </w:p>
        </w:tc>
        <w:tc>
          <w:tcPr>
            <w:tcW w:w="1458" w:type="dxa"/>
          </w:tcPr>
          <w:p w:rsidR="00B8101C" w:rsidRDefault="00B8101C" w:rsidP="00C6606D">
            <w:pPr>
              <w:tabs>
                <w:tab w:val="left" w:pos="866"/>
              </w:tabs>
            </w:pPr>
            <w:r>
              <w:t>Not needed for minimum descriptor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Code scheme</w:t>
            </w:r>
          </w:p>
        </w:tc>
        <w:tc>
          <w:tcPr>
            <w:tcW w:w="6840" w:type="dxa"/>
          </w:tcPr>
          <w:p w:rsidR="00B8101C" w:rsidRDefault="00B8101C" w:rsidP="00C6606D">
            <w:proofErr w:type="spellStart"/>
            <w:r>
              <w:t>InstanceVariable.SubstantiveValueDomain</w:t>
            </w:r>
            <w:proofErr w:type="spellEnd"/>
            <w:r>
              <w:t xml:space="preserve"> (</w:t>
            </w:r>
            <w:proofErr w:type="spellStart"/>
            <w:r>
              <w:t>CodeList</w:t>
            </w:r>
            <w:proofErr w:type="spellEnd"/>
            <w:r>
              <w:t xml:space="preserve">, </w:t>
            </w:r>
            <w:proofErr w:type="spellStart"/>
            <w:r>
              <w:t>StatisticalClassification</w:t>
            </w:r>
            <w:proofErr w:type="spellEnd"/>
            <w:r>
              <w:t>, etc.)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Sequence of variables</w:t>
            </w:r>
          </w:p>
        </w:tc>
        <w:tc>
          <w:tcPr>
            <w:tcW w:w="6840" w:type="dxa"/>
          </w:tcPr>
          <w:p w:rsidR="00B8101C" w:rsidRDefault="00327063" w:rsidP="00C6606D">
            <w:r>
              <w:t>CubeLayout</w:t>
            </w:r>
            <w:r w:rsidR="00B8101C">
              <w:t>.PhysicalLayoutOrder.PhysicalLayoutOrderedPair.ValueMapping</w:t>
            </w:r>
          </w:p>
        </w:tc>
        <w:tc>
          <w:tcPr>
            <w:tcW w:w="1458" w:type="dxa"/>
          </w:tcPr>
          <w:p w:rsidR="00B8101C" w:rsidRDefault="00B8101C" w:rsidP="00C6606D">
            <w:r>
              <w:t xml:space="preserve">Pairwise ordering of Variables - </w:t>
            </w:r>
            <w:r>
              <w:lastRenderedPageBreak/>
              <w:t>transitive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lastRenderedPageBreak/>
              <w:t>File name</w:t>
            </w:r>
          </w:p>
        </w:tc>
        <w:tc>
          <w:tcPr>
            <w:tcW w:w="6840" w:type="dxa"/>
          </w:tcPr>
          <w:p w:rsidR="00B8101C" w:rsidRDefault="00B8101C" w:rsidP="00C6606D">
            <w:r>
              <w:t xml:space="preserve">Need to add – do we have a class representing the physical file? A </w:t>
            </w:r>
            <w:proofErr w:type="spellStart"/>
            <w:r>
              <w:t>DataStore</w:t>
            </w:r>
            <w:proofErr w:type="spellEnd"/>
            <w:r>
              <w:t xml:space="preserve"> is a logical construct (which oh by the way has a character set property – move to a class representing the physical instance?)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File 1</w:t>
            </w:r>
            <w:r w:rsidRPr="00B556FD">
              <w:rPr>
                <w:vertAlign w:val="superscript"/>
              </w:rPr>
              <w:t>st</w:t>
            </w:r>
            <w:r>
              <w:t xml:space="preserve"> line variable names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.hasHeader</w:t>
            </w:r>
            <w:proofErr w:type="spellEnd"/>
            <w:r w:rsidR="00B8101C">
              <w:t>/</w:t>
            </w:r>
            <w:proofErr w:type="spellStart"/>
            <w:r w:rsidR="00B8101C">
              <w:t>headerRowCount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>
            <w:r>
              <w:t>CSVW has both, even though somewhat duplicative</w:t>
            </w:r>
          </w:p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Delimiter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.delimiter</w:t>
            </w:r>
            <w:proofErr w:type="spellEnd"/>
            <w:r w:rsidR="00B8101C">
              <w:t>/</w:t>
            </w:r>
            <w:proofErr w:type="spellStart"/>
            <w:r w:rsidR="00B8101C">
              <w:t>isDelimited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File encoding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.encoding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>
            <w:r>
              <w:t>End-of-line character</w:t>
            </w:r>
          </w:p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.lineTerminator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/>
        </w:tc>
        <w:tc>
          <w:tcPr>
            <w:tcW w:w="6840" w:type="dxa"/>
          </w:tcPr>
          <w:p w:rsidR="00B8101C" w:rsidRDefault="00327063" w:rsidP="00C6606D">
            <w:proofErr w:type="spellStart"/>
            <w:r>
              <w:t>CubeLayout</w:t>
            </w:r>
            <w:r w:rsidR="00B8101C">
              <w:t>.hasHeader</w:t>
            </w:r>
            <w:proofErr w:type="spellEnd"/>
            <w:r w:rsidR="00B8101C">
              <w:t>/</w:t>
            </w:r>
            <w:proofErr w:type="spellStart"/>
            <w:r w:rsidR="00B8101C">
              <w:t>headerRowCount</w:t>
            </w:r>
            <w:proofErr w:type="spellEnd"/>
          </w:p>
        </w:tc>
        <w:tc>
          <w:tcPr>
            <w:tcW w:w="1458" w:type="dxa"/>
          </w:tcPr>
          <w:p w:rsidR="00B8101C" w:rsidRDefault="00B8101C" w:rsidP="00C6606D"/>
        </w:tc>
      </w:tr>
      <w:tr w:rsidR="00B8101C" w:rsidTr="00C6606D">
        <w:tc>
          <w:tcPr>
            <w:tcW w:w="1278" w:type="dxa"/>
          </w:tcPr>
          <w:p w:rsidR="00B8101C" w:rsidRDefault="00B8101C" w:rsidP="00C6606D"/>
        </w:tc>
        <w:tc>
          <w:tcPr>
            <w:tcW w:w="6840" w:type="dxa"/>
          </w:tcPr>
          <w:p w:rsidR="00B8101C" w:rsidRDefault="00327063" w:rsidP="00C6606D">
            <w:r>
              <w:t>CubeLayout</w:t>
            </w:r>
            <w:r w:rsidR="00B8101C">
              <w:t>.PhysicalLayoutOrder.PhysicalLayoutOrderedPair.source/target.ValueMapping.formatsInstanceVariable</w:t>
            </w:r>
          </w:p>
        </w:tc>
        <w:tc>
          <w:tcPr>
            <w:tcW w:w="1458" w:type="dxa"/>
          </w:tcPr>
          <w:p w:rsidR="00B8101C" w:rsidRDefault="00B8101C" w:rsidP="00C6606D"/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ViewPoint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proofErr w:type="spellStart"/>
            <w:r>
              <w:t>ViewPoint</w:t>
            </w:r>
            <w:proofErr w:type="spellEnd"/>
            <w:r>
              <w:t xml:space="preserve"> contains </w:t>
            </w:r>
            <w:proofErr w:type="spellStart"/>
            <w:r>
              <w:t>IdentifierRole</w:t>
            </w:r>
            <w:proofErr w:type="spellEnd"/>
            <w:r>
              <w:t xml:space="preserve"> </w:t>
            </w:r>
            <w:proofErr w:type="spellStart"/>
            <w:r>
              <w:t>MeasureRole</w:t>
            </w:r>
            <w:proofErr w:type="spellEnd"/>
            <w:r>
              <w:t xml:space="preserve">, and </w:t>
            </w:r>
            <w:proofErr w:type="spellStart"/>
            <w:r>
              <w:t>AttributeRole</w:t>
            </w:r>
            <w:proofErr w:type="spellEnd"/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IdentifierRole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Delineates which variables describe dimensions in the cube</w:t>
            </w:r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MeasaureRole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Identifies which variables serve as measures in each cell of the cube</w:t>
            </w:r>
          </w:p>
        </w:tc>
      </w:tr>
      <w:tr w:rsidR="003D4A5E" w:rsidTr="00C6606D">
        <w:tc>
          <w:tcPr>
            <w:tcW w:w="1278" w:type="dxa"/>
          </w:tcPr>
          <w:p w:rsidR="003D4A5E" w:rsidRDefault="003D4A5E" w:rsidP="00C6606D"/>
        </w:tc>
        <w:tc>
          <w:tcPr>
            <w:tcW w:w="6840" w:type="dxa"/>
          </w:tcPr>
          <w:p w:rsidR="003D4A5E" w:rsidRDefault="003D4A5E" w:rsidP="00C6606D">
            <w:proofErr w:type="spellStart"/>
            <w:r>
              <w:t>AttributeRole</w:t>
            </w:r>
            <w:proofErr w:type="spellEnd"/>
          </w:p>
        </w:tc>
        <w:tc>
          <w:tcPr>
            <w:tcW w:w="1458" w:type="dxa"/>
          </w:tcPr>
          <w:p w:rsidR="003D4A5E" w:rsidRDefault="003D4A5E" w:rsidP="00C6606D">
            <w:r>
              <w:t>Identifies which variables, if any, serve as attributes of the Cell.</w:t>
            </w:r>
          </w:p>
        </w:tc>
      </w:tr>
    </w:tbl>
    <w:p w:rsidR="00B8101C" w:rsidRDefault="00B8101C" w:rsidP="00B8101C"/>
    <w:p w:rsidR="00B8101C" w:rsidRDefault="00B8101C" w:rsidP="00B8101C"/>
    <w:p w:rsidR="00B8101C" w:rsidRPr="00890D85" w:rsidRDefault="00B8101C" w:rsidP="00890D85"/>
    <w:p w:rsidR="002D1993" w:rsidRDefault="002D1993" w:rsidP="002D1993">
      <w:pPr>
        <w:pStyle w:val="Heading1"/>
        <w:numPr>
          <w:ilvl w:val="0"/>
          <w:numId w:val="1"/>
        </w:numPr>
      </w:pPr>
      <w:r>
        <w:lastRenderedPageBreak/>
        <w:t>Examples – Object Instances</w:t>
      </w:r>
    </w:p>
    <w:p w:rsidR="00895060" w:rsidRDefault="00895060" w:rsidP="00895060"/>
    <w:p w:rsidR="003D4A5E" w:rsidRPr="003D4A5E" w:rsidRDefault="003D4A5E" w:rsidP="003D4A5E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D4A5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The resulting CSV file is: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,State,MeanG1Age,MinG1Age,MaxG1Age,N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,1,16.875,15,18,8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,2,12.470588235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,3,13.666666667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,4,10.333333333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,-1,17,3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,5,16,15,17,4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,6,16,15,17,2</w:t>
      </w:r>
      <w:proofErr w:type="gramEnd"/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,1,16.085106383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,-1,20,470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,2,16.084142395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,-1,20,309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,3,15.083870968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,4,16.0546875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,-1,19,128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,5,15.603773585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,-1,23,106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,6,15.967741935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,-1,18,62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1,7,17.3,16,19,10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,8,16.214285714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,-1,18,28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,1,15.665217391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,-1,19,460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,2,16.012345679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,-1,25,405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,3,14.838283828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,-1,19,303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,4,15.464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,-1,21,125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,5,15.932098765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,-1,19,162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,-1,19,60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2,7,16.7,13,20,10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,8,15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,1,14.864197531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,-1,27,243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,2,15.706806283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,-1,22,191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,3,14.832116788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,-1,19,137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,4,15.328947368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,-1,19,76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,5,14.471910112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,-1,19,89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,6,15.333333333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,-1,18,27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,7,13.1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3,8,16.6,15,18,10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,1,14.428571429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,-1,18,42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,2,13.711111111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,-1,19,45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,3,12.289473684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,-1,19,38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,4,12.8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,-1,18,15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,5,13.823529412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,-1,19,17</w:t>
      </w:r>
    </w:p>
    <w:p w:rsidR="003D4A5E" w:rsidRPr="00031247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,6,11.875</w:t>
      </w:r>
      <w:proofErr w:type="gramEnd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,-1,18,8</w:t>
      </w:r>
    </w:p>
    <w:p w:rsidR="003D4A5E" w:rsidRDefault="003D4A5E" w:rsidP="003D4A5E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</w:t>
      </w:r>
      <w:proofErr w:type="gramStart"/>
      <w:r w:rsidRPr="0003124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,7,17,17,17,1</w:t>
      </w:r>
      <w:proofErr w:type="gramEnd"/>
    </w:p>
    <w:p w:rsidR="003D4A5E" w:rsidRDefault="003D4A5E" w:rsidP="00895060"/>
    <w:p w:rsidR="0096067D" w:rsidRDefault="0096067D" w:rsidP="00C72917">
      <w:pPr>
        <w:pStyle w:val="Heading3"/>
      </w:pPr>
      <w:r>
        <w:t>File-Level Metadata:</w:t>
      </w:r>
    </w:p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5868"/>
        <w:gridCol w:w="4204"/>
      </w:tblGrid>
      <w:tr w:rsidR="0096067D" w:rsidTr="00C6606D">
        <w:tc>
          <w:tcPr>
            <w:tcW w:w="5868" w:type="dxa"/>
          </w:tcPr>
          <w:p w:rsidR="0096067D" w:rsidRPr="00DE5B6C" w:rsidRDefault="0096067D" w:rsidP="00C6606D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04" w:type="dxa"/>
          </w:tcPr>
          <w:p w:rsidR="0096067D" w:rsidRPr="00DE5B6C" w:rsidRDefault="0096067D" w:rsidP="00C6606D">
            <w:pPr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r>
              <w:t xml:space="preserve">Need to add – do we have a class representing the physical file? A </w:t>
            </w:r>
            <w:proofErr w:type="spellStart"/>
            <w:r>
              <w:t>DataStore</w:t>
            </w:r>
            <w:proofErr w:type="spellEnd"/>
            <w:r>
              <w:t xml:space="preserve"> is a logical construct (which oh by the way has a character set property – move to a class representing the physical instance?)</w:t>
            </w:r>
          </w:p>
        </w:tc>
        <w:tc>
          <w:tcPr>
            <w:tcW w:w="4204" w:type="dxa"/>
          </w:tcPr>
          <w:p w:rsidR="0096067D" w:rsidRDefault="0096067D" w:rsidP="00C6606D"/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.hasHeader</w:t>
            </w:r>
            <w:proofErr w:type="spellEnd"/>
            <w:r w:rsidR="0096067D">
              <w:t>/</w:t>
            </w:r>
            <w:proofErr w:type="spellStart"/>
            <w:r w:rsidR="0096067D">
              <w:t>headerRowCount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proofErr w:type="spellStart"/>
            <w:r>
              <w:t>hasHeader</w:t>
            </w:r>
            <w:proofErr w:type="spellEnd"/>
            <w:r>
              <w:t xml:space="preserve"> = “true”/</w:t>
            </w:r>
            <w:proofErr w:type="spellStart"/>
            <w:r>
              <w:t>headerRowCount</w:t>
            </w:r>
            <w:proofErr w:type="spellEnd"/>
            <w:r>
              <w:t xml:space="preserve"> = 1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.delimiter</w:t>
            </w:r>
            <w:proofErr w:type="spellEnd"/>
            <w:r w:rsidR="0096067D">
              <w:t>/</w:t>
            </w:r>
            <w:proofErr w:type="spellStart"/>
            <w:r w:rsidR="0096067D">
              <w:t>isDelimited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Delimiter = “,”/</w:t>
            </w:r>
            <w:proofErr w:type="spellStart"/>
            <w:r>
              <w:t>isDelimited</w:t>
            </w:r>
            <w:proofErr w:type="spellEnd"/>
            <w:r>
              <w:t>=”true”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.quoteCharacter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Not applicable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.escapeCharacter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Not applicable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t>CubeLayout</w:t>
            </w:r>
            <w:r w:rsidR="0096067D">
              <w:t>.encoding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ASCII</w:t>
            </w:r>
          </w:p>
        </w:tc>
      </w:tr>
      <w:tr w:rsidR="0096067D" w:rsidTr="00C6606D">
        <w:tc>
          <w:tcPr>
            <w:tcW w:w="5868" w:type="dxa"/>
          </w:tcPr>
          <w:p w:rsidR="0096067D" w:rsidRDefault="00327063" w:rsidP="00C6606D">
            <w:proofErr w:type="spellStart"/>
            <w:r>
              <w:lastRenderedPageBreak/>
              <w:t>CubeLayout</w:t>
            </w:r>
            <w:r w:rsidR="0096067D">
              <w:t>.lineTerminator</w:t>
            </w:r>
            <w:proofErr w:type="spellEnd"/>
          </w:p>
        </w:tc>
        <w:tc>
          <w:tcPr>
            <w:tcW w:w="4204" w:type="dxa"/>
          </w:tcPr>
          <w:p w:rsidR="0096067D" w:rsidRDefault="0096067D" w:rsidP="00C6606D">
            <w:r>
              <w:t>\n (line feed)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proofErr w:type="spellStart"/>
            <w:r>
              <w:t>CodeList.contains.CodeItem.contains.Code</w:t>
            </w:r>
            <w:proofErr w:type="spellEnd"/>
          </w:p>
          <w:p w:rsidR="0096067D" w:rsidRPr="008C3346" w:rsidRDefault="0096067D" w:rsidP="00C6606D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204" w:type="dxa"/>
          </w:tcPr>
          <w:p w:rsidR="0096067D" w:rsidRDefault="0096067D" w:rsidP="00C6606D">
            <w:r>
              <w:t>[Not in XML – we have a serious problem here. Model is way too deep. Simplify to agree with the pattern.]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>
            <w:r>
              <w:t>CodeList.contains.CodeItem.contains.Code.denotes.Category.descriptiveText.content</w:t>
            </w:r>
          </w:p>
        </w:tc>
        <w:tc>
          <w:tcPr>
            <w:tcW w:w="4204" w:type="dxa"/>
          </w:tcPr>
          <w:p w:rsidR="0096067D" w:rsidRDefault="0096067D" w:rsidP="00C6606D">
            <w:r>
              <w:t>[Category should be a specialization of Concept]</w:t>
            </w:r>
          </w:p>
        </w:tc>
      </w:tr>
      <w:tr w:rsidR="0096067D" w:rsidTr="00C6606D">
        <w:tc>
          <w:tcPr>
            <w:tcW w:w="5868" w:type="dxa"/>
          </w:tcPr>
          <w:p w:rsidR="0096067D" w:rsidRDefault="0096067D" w:rsidP="00C6606D"/>
        </w:tc>
        <w:tc>
          <w:tcPr>
            <w:tcW w:w="4204" w:type="dxa"/>
          </w:tcPr>
          <w:p w:rsidR="0096067D" w:rsidRDefault="0096067D" w:rsidP="00C6606D">
            <w:r>
              <w:t>Note: Signifier is abstract and cannot be used directly as a datatype. Fix where needed.]</w:t>
            </w:r>
          </w:p>
        </w:tc>
      </w:tr>
      <w:tr w:rsidR="0096067D" w:rsidTr="00C6606D">
        <w:tc>
          <w:tcPr>
            <w:tcW w:w="5868" w:type="dxa"/>
          </w:tcPr>
          <w:p w:rsidR="0096067D" w:rsidRPr="0096067D" w:rsidRDefault="0096067D" w:rsidP="00C6606D">
            <w:proofErr w:type="spellStart"/>
            <w:r w:rsidRPr="0096067D">
              <w:t>IdentifierRole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– A4</w:t>
            </w:r>
          </w:p>
          <w:p w:rsidR="0096067D" w:rsidRPr="0096067D" w:rsidRDefault="0096067D" w:rsidP="00C6606D">
            <w:proofErr w:type="spellStart"/>
            <w:r w:rsidRPr="0096067D">
              <w:t>IdentifierRole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– State</w:t>
            </w:r>
          </w:p>
          <w:p w:rsidR="0096067D" w:rsidRPr="0096067D" w:rsidRDefault="0096067D" w:rsidP="0096067D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M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eanG1Age</w:t>
            </w:r>
          </w:p>
          <w:p w:rsidR="0096067D" w:rsidRDefault="0096067D" w:rsidP="0096067D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MinG1Age</w:t>
            </w:r>
            <w:r w:rsidRPr="0096067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MaxG1Age</w:t>
            </w:r>
          </w:p>
          <w:p w:rsidR="0096067D" w:rsidRDefault="0096067D" w:rsidP="0096067D">
            <w:proofErr w:type="spellStart"/>
            <w:r w:rsidRPr="0096067D">
              <w:t>MeasureRole</w:t>
            </w:r>
            <w:proofErr w:type="spellEnd"/>
            <w:r w:rsidRPr="0096067D">
              <w:t>/</w:t>
            </w:r>
            <w:proofErr w:type="spellStart"/>
            <w:r w:rsidRPr="0096067D">
              <w:t>InstanceVariable</w:t>
            </w:r>
            <w:proofErr w:type="spellEnd"/>
            <w:r w:rsidRPr="0096067D">
              <w:t xml:space="preserve"> - </w:t>
            </w:r>
            <w:r w:rsidRPr="0096067D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N</w:t>
            </w:r>
          </w:p>
        </w:tc>
        <w:tc>
          <w:tcPr>
            <w:tcW w:w="4204" w:type="dxa"/>
          </w:tcPr>
          <w:p w:rsidR="0096067D" w:rsidRDefault="0096067D" w:rsidP="00C6606D"/>
        </w:tc>
      </w:tr>
      <w:tr w:rsidR="004F682C" w:rsidTr="00C6606D">
        <w:tc>
          <w:tcPr>
            <w:tcW w:w="5868" w:type="dxa"/>
          </w:tcPr>
          <w:p w:rsidR="004F682C" w:rsidRPr="0096067D" w:rsidRDefault="004F682C" w:rsidP="00C6606D">
            <w:proofErr w:type="spellStart"/>
            <w:r>
              <w:t>RecordRelation</w:t>
            </w:r>
            <w:proofErr w:type="spellEnd"/>
            <w:r>
              <w:t>/</w:t>
            </w:r>
            <w:proofErr w:type="spellStart"/>
            <w:r>
              <w:t>InstanceVariableMapping</w:t>
            </w:r>
            <w:proofErr w:type="spellEnd"/>
          </w:p>
        </w:tc>
        <w:tc>
          <w:tcPr>
            <w:tcW w:w="4204" w:type="dxa"/>
          </w:tcPr>
          <w:p w:rsidR="004F682C" w:rsidRDefault="004F682C" w:rsidP="00C6606D">
            <w:r>
              <w:t>Used to identify keys linking the two record types</w:t>
            </w:r>
          </w:p>
        </w:tc>
      </w:tr>
    </w:tbl>
    <w:p w:rsidR="0096067D" w:rsidRDefault="0096067D" w:rsidP="0096067D"/>
    <w:p w:rsidR="00A267D8" w:rsidRDefault="00A267D8" w:rsidP="00A267D8">
      <w:r>
        <w:t>Column 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8"/>
      </w:tblGrid>
      <w:tr w:rsidR="00A267D8" w:rsidTr="00D33BF2">
        <w:tc>
          <w:tcPr>
            <w:tcW w:w="5868" w:type="dxa"/>
          </w:tcPr>
          <w:p w:rsidR="00A267D8" w:rsidRPr="002515CA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3708" w:type="dxa"/>
          </w:tcPr>
          <w:p w:rsidR="00A267D8" w:rsidRPr="002515CA" w:rsidRDefault="00A267D8" w:rsidP="00D33BF2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RectangularLayout.PhysicalLayoutOrder.PhysicalLayoutOrderedPair.source/target.ValueMapping.formatsInstanceVariable [Is </w:t>
            </w:r>
            <w:proofErr w:type="spellStart"/>
            <w:r>
              <w:t>ValueMapping</w:t>
            </w:r>
            <w:proofErr w:type="spellEnd"/>
            <w:r>
              <w:t xml:space="preserve"> needed? Direct relationship between </w:t>
            </w:r>
            <w:proofErr w:type="spellStart"/>
            <w:r>
              <w:t>PhysicalLayoutOrderedPair</w:t>
            </w:r>
            <w:proofErr w:type="spellEnd"/>
            <w:r>
              <w:t xml:space="preserve"> and </w:t>
            </w:r>
            <w:proofErr w:type="spellStart"/>
            <w:r>
              <w:t>InstanceVariable</w:t>
            </w:r>
            <w:proofErr w:type="spellEnd"/>
            <w:r>
              <w:t>.]</w:t>
            </w:r>
          </w:p>
        </w:tc>
        <w:tc>
          <w:tcPr>
            <w:tcW w:w="3708" w:type="dxa"/>
          </w:tcPr>
          <w:p w:rsidR="00A267D8" w:rsidRDefault="00A267D8" w:rsidP="00D33BF2">
            <w:r>
              <w:t>Source = A4</w:t>
            </w:r>
          </w:p>
          <w:p w:rsidR="00A267D8" w:rsidRDefault="00A267D8" w:rsidP="00A267D8">
            <w:r>
              <w:t>Target = State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RectangularLayout.PhysicalLayoutOrder.PhysicalLayoutOrderedPair.source/target.ValueMapping.formatsInstanceVariable </w:t>
            </w:r>
          </w:p>
        </w:tc>
        <w:tc>
          <w:tcPr>
            <w:tcW w:w="3708" w:type="dxa"/>
          </w:tcPr>
          <w:p w:rsidR="00A267D8" w:rsidRDefault="00A267D8" w:rsidP="00D33BF2">
            <w:r>
              <w:t>Source = State</w:t>
            </w:r>
          </w:p>
          <w:p w:rsidR="00A267D8" w:rsidRDefault="00A267D8" w:rsidP="00D33BF2">
            <w:r>
              <w:t xml:space="preserve">Target = </w:t>
            </w:r>
            <w:r w:rsidRPr="00A267D8">
              <w:t>MeanG1Age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RectangularLayout.PhysicalLayoutOrder.PhysicalLayoutOrderedPair.source/target.ValueMapping.formatsInstanceVariable </w:t>
            </w:r>
          </w:p>
        </w:tc>
        <w:tc>
          <w:tcPr>
            <w:tcW w:w="3708" w:type="dxa"/>
          </w:tcPr>
          <w:p w:rsidR="00A267D8" w:rsidRDefault="00A267D8" w:rsidP="00D33BF2">
            <w:r>
              <w:t xml:space="preserve">Source = </w:t>
            </w:r>
            <w:r w:rsidRPr="00A267D8">
              <w:t>MeanG1Age</w:t>
            </w:r>
          </w:p>
          <w:p w:rsidR="00A267D8" w:rsidRDefault="00A267D8" w:rsidP="00D33BF2">
            <w:r>
              <w:t xml:space="preserve">Target = </w:t>
            </w:r>
            <w:r w:rsidRPr="00A267D8">
              <w:t>MinG1Age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RectangularLayout.PhysicalLayoutOrder.PhysicalLayoutOrderedPair.source/target.ValueMapping.formatsInstanceVariable </w:t>
            </w:r>
          </w:p>
        </w:tc>
        <w:tc>
          <w:tcPr>
            <w:tcW w:w="3708" w:type="dxa"/>
          </w:tcPr>
          <w:p w:rsidR="00A267D8" w:rsidRDefault="00A267D8" w:rsidP="00D33BF2">
            <w:r>
              <w:t xml:space="preserve">Source = </w:t>
            </w:r>
            <w:r w:rsidRPr="00A267D8">
              <w:t>MinG1Age</w:t>
            </w:r>
          </w:p>
          <w:p w:rsidR="00A267D8" w:rsidRDefault="00A267D8" w:rsidP="00D33BF2">
            <w:r>
              <w:t xml:space="preserve">Target = </w:t>
            </w:r>
            <w:r w:rsidRPr="00A267D8">
              <w:t>MaxG1Age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RectangularLayout.PhysicalLayoutOrder.PhysicalLayoutOrderedPair.source/target.ValueMapping.formatsInstanceVariable </w:t>
            </w:r>
          </w:p>
        </w:tc>
        <w:tc>
          <w:tcPr>
            <w:tcW w:w="3708" w:type="dxa"/>
          </w:tcPr>
          <w:p w:rsidR="00A267D8" w:rsidRDefault="00A267D8" w:rsidP="00D33BF2">
            <w:r>
              <w:t xml:space="preserve">Source = </w:t>
            </w:r>
            <w:r w:rsidRPr="00A267D8">
              <w:t>MaxG1Age</w:t>
            </w:r>
          </w:p>
          <w:p w:rsidR="00A267D8" w:rsidRDefault="00A267D8" w:rsidP="00D33BF2">
            <w:r>
              <w:t xml:space="preserve">Target = </w:t>
            </w:r>
            <w:r w:rsidRPr="00A267D8">
              <w:t>N</w:t>
            </w:r>
          </w:p>
        </w:tc>
      </w:tr>
    </w:tbl>
    <w:p w:rsidR="00A267D8" w:rsidRDefault="00A267D8" w:rsidP="00A267D8"/>
    <w:p w:rsidR="00A267D8" w:rsidRDefault="00A267D8" w:rsidP="00A267D8">
      <w:r>
        <w:t>Column 1: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A4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 w:rsidRPr="00E728EA">
              <w:t>A4. Interest in election campaign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nominal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lastRenderedPageBreak/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Code (1=A good Deal, 2=Some, 3=Not much, 4=None at all)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A267D8" w:rsidRDefault="00A267D8" w:rsidP="00A267D8">
      <w:r>
        <w:t>Column 2: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State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 w:rsidRPr="00630F14">
              <w:t>State (from sample)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nominal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Substantive Value Domain (Date)</w:t>
            </w:r>
          </w:p>
        </w:tc>
        <w:tc>
          <w:tcPr>
            <w:tcW w:w="4230" w:type="dxa"/>
          </w:tcPr>
          <w:p w:rsidR="00A267D8" w:rsidRDefault="00A267D8" w:rsidP="00D33BF2">
            <w:r>
              <w:t>State Codes (1=NSW, 2=VIC …)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Default="00A267D8" w:rsidP="00A267D8"/>
    <w:p w:rsidR="00A267D8" w:rsidRDefault="00A267D8" w:rsidP="00A267D8"/>
    <w:p w:rsidR="00A267D8" w:rsidRDefault="00A267D8" w:rsidP="00A267D8">
      <w:r>
        <w:t>Column3: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MeanG1Age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 xml:space="preserve">Mean of </w:t>
            </w:r>
            <w:r w:rsidRPr="00DD4F47">
              <w:t>G1. Age given (Numeric) (BASE: Age given)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interval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float expressed in Arabic numerals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A267D8" w:rsidRDefault="00A267D8" w:rsidP="00A267D8"/>
    <w:p w:rsidR="00A267D8" w:rsidRDefault="00A267D8" w:rsidP="00A267D8">
      <w:r>
        <w:t>Column 4: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MinG1Age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 xml:space="preserve">Minimum of </w:t>
            </w:r>
            <w:r w:rsidRPr="00DD4F47">
              <w:t>G1. Age given (Numeric) (BASE: Age given)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interval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Integer expressed in Arabic numerals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A267D8" w:rsidRDefault="00A267D8" w:rsidP="00A267D8">
      <w:r>
        <w:t>Column 5: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MaxG1Age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 xml:space="preserve">Maximum of </w:t>
            </w:r>
            <w:r w:rsidRPr="00DD4F47">
              <w:t>G1. Age given (Numeric) (BASE: Age given)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interval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Integer expressed in Arabic numerals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A267D8" w:rsidRDefault="00A267D8" w:rsidP="00A267D8">
      <w:r>
        <w:t>Column 6: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N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 xml:space="preserve">Number of </w:t>
            </w:r>
            <w:proofErr w:type="spellStart"/>
            <w:r>
              <w:t>non missing</w:t>
            </w:r>
            <w:proofErr w:type="spellEnd"/>
            <w:r>
              <w:t xml:space="preserve"> values</w:t>
            </w:r>
            <w:r w:rsidR="00CA5309">
              <w:t xml:space="preserve"> of 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CA5309" w:rsidP="00D33BF2">
            <w:r>
              <w:t>ratio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lastRenderedPageBreak/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Integer expressed in Arabic numerals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A267D8" w:rsidRDefault="00A267D8" w:rsidP="00A267D8"/>
    <w:p w:rsidR="00A267D8" w:rsidRDefault="00A267D8" w:rsidP="00A267D8"/>
    <w:p w:rsidR="00A267D8" w:rsidRDefault="00A267D8" w:rsidP="00A267D8"/>
    <w:p w:rsidR="00A267D8" w:rsidRDefault="006826C9" w:rsidP="00A267D8">
      <w:r>
        <w:t>Original c</w:t>
      </w:r>
      <w:r w:rsidR="00A267D8">
        <w:t xml:space="preserve">olumn on which statistics </w:t>
      </w:r>
      <w:r w:rsidR="003346C7">
        <w:t xml:space="preserve">are </w:t>
      </w:r>
      <w:r w:rsidR="00A267D8">
        <w:t>computed 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A267D8" w:rsidTr="00D33BF2">
        <w:tc>
          <w:tcPr>
            <w:tcW w:w="5868" w:type="dxa"/>
          </w:tcPr>
          <w:p w:rsidR="00A267D8" w:rsidRPr="00391442" w:rsidRDefault="00A267D8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A267D8" w:rsidRPr="00391442" w:rsidRDefault="00A267D8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InstanceVariable.name</w:t>
            </w:r>
          </w:p>
        </w:tc>
        <w:tc>
          <w:tcPr>
            <w:tcW w:w="4230" w:type="dxa"/>
          </w:tcPr>
          <w:p w:rsidR="00A267D8" w:rsidRDefault="00A267D8" w:rsidP="00D33BF2">
            <w:r>
              <w:t>G1Age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InstanceVariable.displayLable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 w:rsidRPr="00DD4F47">
              <w:t>G1. Age given (Numeric) (BASE: Age given)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InstanceVariable.hasIntendedDataType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interval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ValueMapping.physicalDataType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numeric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>ValueMapping.physicalDataTypeInstanceVariable.takesSubstantiveValuesFrom.DescribedValueDomain.minimumValueInclusive/minimumValueExclusive/maximumValueInclusive/maximumValueExclusive</w:t>
            </w:r>
          </w:p>
        </w:tc>
        <w:tc>
          <w:tcPr>
            <w:tcW w:w="4230" w:type="dxa"/>
          </w:tcPr>
          <w:p w:rsidR="00A267D8" w:rsidRDefault="00A267D8" w:rsidP="00D33BF2">
            <w:r>
              <w:t>Not applicable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proofErr w:type="spellStart"/>
            <w:r>
              <w:t>InstanceVariable.SentinelValueDomain</w:t>
            </w:r>
            <w:proofErr w:type="spellEnd"/>
          </w:p>
        </w:tc>
        <w:tc>
          <w:tcPr>
            <w:tcW w:w="4230" w:type="dxa"/>
          </w:tcPr>
          <w:p w:rsidR="00A267D8" w:rsidRDefault="00A267D8" w:rsidP="00D33BF2">
            <w:r>
              <w:t>Missing = “-1”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Not in the model, other than the </w:t>
            </w:r>
            <w:proofErr w:type="spellStart"/>
            <w:r>
              <w:t>StatisticalSummary</w:t>
            </w:r>
            <w:proofErr w:type="spellEnd"/>
            <w:r>
              <w:t xml:space="preserve"> class in the “Keep” package</w:t>
            </w:r>
          </w:p>
        </w:tc>
        <w:tc>
          <w:tcPr>
            <w:tcW w:w="4230" w:type="dxa"/>
          </w:tcPr>
          <w:p w:rsidR="00A267D8" w:rsidRDefault="00A267D8" w:rsidP="00D33BF2">
            <w:r>
              <w:t>[table of summary statistics]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>
            <w:r>
              <w:t xml:space="preserve">Substantive Value Domain </w:t>
            </w:r>
          </w:p>
        </w:tc>
        <w:tc>
          <w:tcPr>
            <w:tcW w:w="4230" w:type="dxa"/>
          </w:tcPr>
          <w:p w:rsidR="00A267D8" w:rsidRDefault="00A267D8" w:rsidP="00D33BF2">
            <w:r>
              <w:t>Integer expressed in Arabic numerals</w:t>
            </w:r>
          </w:p>
        </w:tc>
      </w:tr>
      <w:tr w:rsidR="00A267D8" w:rsidTr="00D33BF2">
        <w:tc>
          <w:tcPr>
            <w:tcW w:w="5868" w:type="dxa"/>
          </w:tcPr>
          <w:p w:rsidR="00A267D8" w:rsidRDefault="00A267D8" w:rsidP="00D33BF2"/>
        </w:tc>
        <w:tc>
          <w:tcPr>
            <w:tcW w:w="4230" w:type="dxa"/>
          </w:tcPr>
          <w:p w:rsidR="00A267D8" w:rsidRDefault="00A267D8" w:rsidP="00D33BF2"/>
        </w:tc>
      </w:tr>
    </w:tbl>
    <w:p w:rsidR="00A267D8" w:rsidRPr="00895060" w:rsidRDefault="00A267D8" w:rsidP="00A267D8"/>
    <w:p w:rsidR="00233373" w:rsidRDefault="00233373" w:rsidP="00233373">
      <w:r>
        <w:t>Viewpoint: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868"/>
        <w:gridCol w:w="4230"/>
      </w:tblGrid>
      <w:tr w:rsidR="00233373" w:rsidTr="00D33BF2">
        <w:tc>
          <w:tcPr>
            <w:tcW w:w="5868" w:type="dxa"/>
          </w:tcPr>
          <w:p w:rsidR="00233373" w:rsidRPr="00391442" w:rsidRDefault="00233373" w:rsidP="00D33BF2">
            <w:pPr>
              <w:rPr>
                <w:b/>
              </w:rPr>
            </w:pPr>
            <w:r>
              <w:rPr>
                <w:b/>
              </w:rPr>
              <w:t>DDI 4 Construct</w:t>
            </w:r>
          </w:p>
        </w:tc>
        <w:tc>
          <w:tcPr>
            <w:tcW w:w="4230" w:type="dxa"/>
          </w:tcPr>
          <w:p w:rsidR="00233373" w:rsidRPr="00391442" w:rsidRDefault="00233373" w:rsidP="00D33BF2">
            <w:pPr>
              <w:rPr>
                <w:b/>
              </w:rPr>
            </w:pPr>
            <w:r w:rsidRPr="00391442">
              <w:rPr>
                <w:b/>
              </w:rPr>
              <w:t>Values</w:t>
            </w:r>
          </w:p>
        </w:tc>
      </w:tr>
      <w:tr w:rsidR="00233373" w:rsidTr="00D33BF2">
        <w:tc>
          <w:tcPr>
            <w:tcW w:w="5868" w:type="dxa"/>
          </w:tcPr>
          <w:p w:rsidR="00233373" w:rsidRDefault="00233373" w:rsidP="00A30D07">
            <w:r>
              <w:t>Viewpoint/</w:t>
            </w:r>
            <w:proofErr w:type="spellStart"/>
            <w:r>
              <w:t>Identifier</w:t>
            </w:r>
            <w:r w:rsidR="00A30D07">
              <w:t>Role</w:t>
            </w:r>
            <w:proofErr w:type="spellEnd"/>
          </w:p>
        </w:tc>
        <w:tc>
          <w:tcPr>
            <w:tcW w:w="4230" w:type="dxa"/>
          </w:tcPr>
          <w:p w:rsidR="00233373" w:rsidRDefault="00233373" w:rsidP="00D33BF2">
            <w:r>
              <w:t>A4</w:t>
            </w:r>
          </w:p>
        </w:tc>
      </w:tr>
      <w:tr w:rsidR="00A30D07" w:rsidTr="00D33BF2">
        <w:tc>
          <w:tcPr>
            <w:tcW w:w="5868" w:type="dxa"/>
          </w:tcPr>
          <w:p w:rsidR="00A30D07" w:rsidRDefault="00A30D07" w:rsidP="00A30D07">
            <w:r>
              <w:t>Viewpoint/</w:t>
            </w:r>
            <w:proofErr w:type="spellStart"/>
            <w:r>
              <w:t>IdentifierRole</w:t>
            </w:r>
            <w:proofErr w:type="spellEnd"/>
          </w:p>
        </w:tc>
        <w:tc>
          <w:tcPr>
            <w:tcW w:w="4230" w:type="dxa"/>
          </w:tcPr>
          <w:p w:rsidR="00A30D07" w:rsidRDefault="00A30D07" w:rsidP="00A30D07">
            <w:r>
              <w:t>State</w:t>
            </w:r>
          </w:p>
        </w:tc>
      </w:tr>
      <w:tr w:rsidR="00A30D07" w:rsidTr="00D33BF2">
        <w:tc>
          <w:tcPr>
            <w:tcW w:w="5868" w:type="dxa"/>
          </w:tcPr>
          <w:p w:rsidR="00A30D07" w:rsidRDefault="00A30D07" w:rsidP="00A30D07">
            <w:r>
              <w:t>Viewpoint/</w:t>
            </w:r>
            <w:proofErr w:type="spellStart"/>
            <w:r>
              <w:t>MeasureRole</w:t>
            </w:r>
            <w:proofErr w:type="spellEnd"/>
          </w:p>
        </w:tc>
        <w:tc>
          <w:tcPr>
            <w:tcW w:w="4230" w:type="dxa"/>
          </w:tcPr>
          <w:p w:rsidR="00A30D07" w:rsidRDefault="00A30D07" w:rsidP="00A30D07">
            <w:r>
              <w:t>MeanG1Age</w:t>
            </w:r>
          </w:p>
        </w:tc>
      </w:tr>
      <w:tr w:rsidR="00A30D07" w:rsidTr="00D33BF2">
        <w:tc>
          <w:tcPr>
            <w:tcW w:w="5868" w:type="dxa"/>
          </w:tcPr>
          <w:p w:rsidR="00A30D07" w:rsidRDefault="00A30D07" w:rsidP="00A30D07">
            <w:r>
              <w:t>Viewpoint/</w:t>
            </w:r>
            <w:proofErr w:type="spellStart"/>
            <w:r>
              <w:t>MeasureRole</w:t>
            </w:r>
            <w:proofErr w:type="spellEnd"/>
          </w:p>
        </w:tc>
        <w:tc>
          <w:tcPr>
            <w:tcW w:w="4230" w:type="dxa"/>
          </w:tcPr>
          <w:p w:rsidR="00A30D07" w:rsidRDefault="00A30D07" w:rsidP="00A30D07">
            <w:r>
              <w:t>MinG1Age</w:t>
            </w:r>
          </w:p>
        </w:tc>
      </w:tr>
      <w:tr w:rsidR="00A30D07" w:rsidTr="00D33BF2">
        <w:tc>
          <w:tcPr>
            <w:tcW w:w="5868" w:type="dxa"/>
          </w:tcPr>
          <w:p w:rsidR="00A30D07" w:rsidRDefault="00A30D07" w:rsidP="00A30D07">
            <w:r>
              <w:t>Viewpoint/</w:t>
            </w:r>
            <w:proofErr w:type="spellStart"/>
            <w:r>
              <w:t>MeasureRole</w:t>
            </w:r>
            <w:proofErr w:type="spellEnd"/>
          </w:p>
        </w:tc>
        <w:tc>
          <w:tcPr>
            <w:tcW w:w="4230" w:type="dxa"/>
          </w:tcPr>
          <w:p w:rsidR="00A30D07" w:rsidRDefault="00A30D07" w:rsidP="00A30D07">
            <w:r>
              <w:t>MaxG1Age</w:t>
            </w:r>
          </w:p>
        </w:tc>
      </w:tr>
      <w:tr w:rsidR="00A30D07" w:rsidTr="00D33BF2">
        <w:tc>
          <w:tcPr>
            <w:tcW w:w="5868" w:type="dxa"/>
          </w:tcPr>
          <w:p w:rsidR="00A30D07" w:rsidRDefault="00A30D07" w:rsidP="00A30D07">
            <w:r>
              <w:t>Viewpoint/</w:t>
            </w:r>
            <w:proofErr w:type="spellStart"/>
            <w:r>
              <w:t>MeasureRole</w:t>
            </w:r>
            <w:proofErr w:type="spellEnd"/>
          </w:p>
        </w:tc>
        <w:tc>
          <w:tcPr>
            <w:tcW w:w="4230" w:type="dxa"/>
          </w:tcPr>
          <w:p w:rsidR="00A30D07" w:rsidRDefault="00A30D07" w:rsidP="00A30D07">
            <w:r>
              <w:t>N</w:t>
            </w:r>
          </w:p>
        </w:tc>
      </w:tr>
    </w:tbl>
    <w:p w:rsidR="00233373" w:rsidRDefault="00233373" w:rsidP="00895060"/>
    <w:p w:rsidR="00A30D07" w:rsidRDefault="00A30D07" w:rsidP="00895060">
      <w:r>
        <w:t xml:space="preserve">Note that we do not here link the </w:t>
      </w:r>
      <w:proofErr w:type="spellStart"/>
      <w:r w:rsidR="0070169D">
        <w:t>IdentifierRoles</w:t>
      </w:r>
      <w:proofErr w:type="spellEnd"/>
      <w:r w:rsidR="0070169D">
        <w:t xml:space="preserve"> to classifications.</w:t>
      </w:r>
    </w:p>
    <w:p w:rsidR="002D1993" w:rsidRDefault="002D1993" w:rsidP="002D1993">
      <w:pPr>
        <w:pStyle w:val="Heading1"/>
        <w:numPr>
          <w:ilvl w:val="0"/>
          <w:numId w:val="1"/>
        </w:numPr>
      </w:pPr>
      <w:r>
        <w:lastRenderedPageBreak/>
        <w:t>Relationship to Other Standards/Vocabularies</w:t>
      </w:r>
    </w:p>
    <w:p w:rsidR="00895060" w:rsidRPr="00895060" w:rsidRDefault="00895060" w:rsidP="00895060">
      <w:r>
        <w:t>[Describe any useful relationships with other models/standards/namespaces as appropriate, and at a fine level of detail if appropriate.]</w:t>
      </w:r>
    </w:p>
    <w:p w:rsidR="002D1993" w:rsidRDefault="002D1993" w:rsidP="002D1993">
      <w:pPr>
        <w:pStyle w:val="Heading1"/>
        <w:numPr>
          <w:ilvl w:val="0"/>
          <w:numId w:val="1"/>
        </w:numPr>
      </w:pPr>
      <w:r>
        <w:t>XML Example</w:t>
      </w:r>
    </w:p>
    <w:p w:rsidR="00895060" w:rsidRDefault="00895060" w:rsidP="00895060"/>
    <w:p w:rsidR="004D5756" w:rsidRPr="004D5756" w:rsidRDefault="004D5756" w:rsidP="00895060">
      <w:pPr>
        <w:rPr>
          <w:sz w:val="18"/>
          <w:szCs w:val="18"/>
        </w:rPr>
      </w:pPr>
      <w:r w:rsidRPr="004D5756">
        <w:rPr>
          <w:rFonts w:ascii="Times New Roman" w:hAnsi="Times New Roman" w:cs="Times New Roman"/>
          <w:color w:val="8B26C9"/>
          <w:sz w:val="18"/>
          <w:szCs w:val="18"/>
        </w:rPr>
        <w:t>&lt;?xml version</w:t>
      </w:r>
      <w:bookmarkStart w:id="0" w:name="_GoBack"/>
      <w:bookmarkEnd w:id="0"/>
      <w:r w:rsidRPr="004D5756">
        <w:rPr>
          <w:rFonts w:ascii="Times New Roman" w:hAnsi="Times New Roman" w:cs="Times New Roman"/>
          <w:color w:val="8B26C9"/>
          <w:sz w:val="18"/>
          <w:szCs w:val="18"/>
        </w:rPr>
        <w:t>="1.0" encoding="UTF-8"?&gt;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&lt;DDI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xmlns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"urn:ddi.org:4"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  </w:t>
      </w:r>
      <w:proofErr w:type="spellStart"/>
      <w:r w:rsidRPr="004D5756">
        <w:rPr>
          <w:rFonts w:ascii="Times New Roman" w:hAnsi="Times New Roman" w:cs="Times New Roman"/>
          <w:color w:val="0099CC"/>
          <w:sz w:val="18"/>
          <w:szCs w:val="18"/>
        </w:rPr>
        <w:t>xmlns:xsi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"http://www.w3.org/2001/XMLSchema-instance"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 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xsi:schemaLocation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"urn:ddi.org:4 file:/C:/DDRIVE/projects/various/Dagstuhl/2016/week2/DataDescriptionExamples/DataDescriptionExamples/Friday/ddi4_2016-10-27/xsd/DataDictionaryView_4-DR0.2.xsd"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type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DataDictionaryView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DocumentInformation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DagDocinfoTest1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VersionDate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2016-10-24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VersionDate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HasAnnotation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&lt;Abstract&gt;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This is an example of a DDI Views Data Dictionary, created at the Dagstuhl Sprint, October 2016 (Week Two) at 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Schloss</w:t>
      </w:r>
      <w:proofErr w:type="spellEnd"/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Dagstuhl, 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Wadern</w:t>
      </w:r>
      <w:proofErr w:type="spellEnd"/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Germany.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(Dagstuhl event 16433, October 23 – </w:t>
      </w:r>
      <w:proofErr w:type="gram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28 ,</w:t>
      </w:r>
      <w:proofErr w:type="gramEnd"/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2016, DDI Moving Forward: Improvement and Refinement of Selected Areas.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The data 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beinng</w:t>
      </w:r>
      <w:proofErr w:type="spellEnd"/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documented is an aggregation from the Australian Election Study, 2013, written as a CSV file.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&lt;/Abstract&gt;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Larry Hoyle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University Of Kansas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&lt;Role&gt;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&lt;ControlledVocabularyAgencyName&gt;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casrai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&lt;/ControlledVocabularyAgencyName&gt;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ControlledVocabularyName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Contributor Roles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ControlledVocabularyName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Data Curation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&lt;Extent&gt;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Equal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&lt;/Extent&gt;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&lt;/Role&gt;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AgentAssociation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"Individual"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AgentAssociation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&lt;String&gt;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Arofan</w:t>
      </w:r>
      <w:proofErr w:type="spellEnd"/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Gregory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Aeon Technologies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Knut 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Wenzig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DIW Berlin - German Institute for Economic Research 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Soep</w:t>
      </w:r>
      <w:proofErr w:type="spellEnd"/>
      <w:r w:rsidRPr="004D5756">
        <w:rPr>
          <w:rFonts w:ascii="Times New Roman" w:hAnsi="Times New Roman" w:cs="Times New Roman"/>
          <w:color w:val="000000"/>
          <w:sz w:val="18"/>
          <w:szCs w:val="18"/>
        </w:rPr>
        <w:t>- German Socio-Economic Panel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Dan Gillman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&lt;/String&gt;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BLS - U.S. Bureau of Labor Statistics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&lt;/Affiliation&gt;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&lt;/Contributor&gt;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HasAnnotation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DocumentInformation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RectangularLayout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L12345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&lt;Encoding&gt;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ASCII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&lt;/Encoding&gt;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HasHeader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true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HasHeader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HeaderRowCount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HeaderRowCount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IsDelimited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true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IsDelimited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&lt;Delimiter&gt;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&lt;/Delimiter&gt;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LineTerminator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\n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LineTerminator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"URN:DDI:dagstuhl16433.ddialliance.org:VM_A4ID:1"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"URN:DDI:dagstuhl16433.ddialliance.org:VM_StateID:1"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"URN:DDI:dagstuhl16433.ddialliance.org:VM_MeanG1AgeID:1"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"URN:DDI:dagstuhl16433.ddialliance.org:VM_MinG1AgeID:1"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"URN:DDI:dagstuhl16433.ddialliance.org:VM_MaxG1AgeID:1"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ContainsValueMapping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"URN:DDI:dagstuhl16433.ddialliance.org:VM_NID:1"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&gt;&lt;/ContainsValueMapping&gt;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RectangularLayout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G1AgeID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G1. Age given (Numeric) (BASE: Age given)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interval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The original variable upon which the cell statistics were computed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6400"/>
          <w:sz w:val="18"/>
          <w:szCs w:val="18"/>
        </w:rPr>
        <w:t xml:space="preserve">&lt;!-- NOTE: if we had a </w:t>
      </w:r>
      <w:proofErr w:type="spellStart"/>
      <w:r w:rsidRPr="004D5756">
        <w:rPr>
          <w:rFonts w:ascii="Times New Roman" w:hAnsi="Times New Roman" w:cs="Times New Roman"/>
          <w:color w:val="006400"/>
          <w:sz w:val="18"/>
          <w:szCs w:val="18"/>
        </w:rPr>
        <w:t>derivedFrom</w:t>
      </w:r>
      <w:proofErr w:type="spellEnd"/>
      <w:r w:rsidRPr="004D5756">
        <w:rPr>
          <w:rFonts w:ascii="Times New Roman" w:hAnsi="Times New Roman" w:cs="Times New Roman"/>
          <w:color w:val="006400"/>
          <w:sz w:val="18"/>
          <w:szCs w:val="18"/>
        </w:rPr>
        <w:t xml:space="preserve"> attribute on the measure variables we could point to G1Age --&gt;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A4ID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A4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A4. Interest in election campaign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nominal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Cube Dimension, categories of this variable define rows or columns of a cube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VM_A4ID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"URN:DDI:dagstuhl16433.ddialliance.org:A4ID:1"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numeric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StateID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State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State (from sample)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nominal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Cube Dimension, categories of this variable define rows or columns of a cube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VM_StateID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"URN:DDI:dagstuhl16433.ddialliance.org:StateID:1"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numeric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MeanG1AgeID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MeanG1Age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Mean of G1. Age given (Numeric) (BASE: Age given)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ratio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Measure, The mean of variable 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TakesSubstantiveValuesFrom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"URN:DDI:dagstuhl16433.ddialliance.org:SVD_precisionReal:1"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&gt;&lt;/TakesSubstantiveValuesFrom&gt;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VM_MeanG1AgeID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lastRenderedPageBreak/>
        <w:t>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"URN:DDI:dagstuhl16433.ddialliance.org:MeanG1AgeID:1"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text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MinG1Age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Minimum of G1. Age given (Numeric) (BASE: Age given)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interval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Measure, The minimum of variable 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TakesSubstantiveValuesFrom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"URN:DDI:dagstuhl16433.ddialliance.org:SVD_integer:1"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&gt;&lt;/TakesSubstantiveValuesFrom&gt;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VM_MinG1Age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"URN:DDI:dagstuhl16433.ddialliance.org:MinG1Age:1"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numeric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MaxG1Age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G5. Extended-Occupation (ANZSCO 4 digit</w:t>
      </w:r>
      <w:proofErr w:type="gram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gramEnd"/>
      <w:r w:rsidRPr="004D5756">
        <w:rPr>
          <w:rFonts w:ascii="Times New Roman" w:hAnsi="Times New Roman" w:cs="Times New Roman"/>
          <w:color w:val="000096"/>
          <w:sz w:val="18"/>
          <w:szCs w:val="18"/>
        </w:rPr>
        <w:t>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Maximum of G1. Age given (Numeric) (BASE: Age given)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interval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Measure, The maximum of variable 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TakesSubstantiveValuesFrom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"URN:DDI:dagstuhl16433.ddialliance.org:SVD_integer:1"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&gt;&lt;/TakesSubstantiveValuesFrom&gt;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VM_MaxG1Age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"URN:DDI:dagstuhl16433.ddialliance.org:MaxG1Age:1"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numeric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&lt;Name&gt;&lt;Content&gt;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&lt;/Content&gt;&lt;/Name&gt;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Number of valid G1. Age given (Numeric) (BASE: Age given)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DisplayLabel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ratio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HasIntendedDataType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Measure, The number of non-missing values of G1Age for a cell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TakesSubstantiveValuesFrom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"URN:DDI:dagstuhl16433.ddialliance.org:SVD_integer:1"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&gt;&lt;/TakesSubstantiveValuesFrom&gt;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VM_N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isExternal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"false"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"URN:DDI:dagstuhl16433.ddialliance.org:N:1"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FormatsInstanceVariable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double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PhysicalDataType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ValueMapping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LayOrd123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"URN:DDI:dagstuhl16433.ddialliance.org:OP1A:1"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"URN:DDI:dagstuhl16433.ddialliance.org:OP2A:1"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"URN:DDI:dagstuhl16433.ddialliance.org:OP3A:1"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"URN:DDI:dagstuhl16433.ddialliance.org:OP4A:1"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"URN:DDI:dagstuhl16433.ddialliance.org:OP5A:1"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OP1A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&lt;Source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"URN:DDI:dagstuhl16433.ddialliance.org:A4ID:1"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&gt;&lt;/Source&gt;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&lt;Target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"URN:DDI:dagstuhl16433.ddialliance.org:StateID:1"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&gt;&lt;/Target&gt;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OP2A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&lt;Source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"URN:DDI:dagstuhl16433.ddialliance.org:StateID:1"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&gt;&lt;/Source&gt;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&lt;Target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"URN:DDI:dagstuhl16433.ddialliance.org:MeanG1AgeID:1"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&gt;&lt;/Target&gt;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OP3A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&lt;Source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"URN:DDI:dagstuhl16433.ddialliance.org:MeanG1AgeID:1"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&gt;&lt;/Source&gt;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&lt;Target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"URN:DDI:dagstuhl16433.ddialliance.org:MinG1AgeID:1"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&gt;&lt;/Target&gt;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OP4A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&lt;Source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"URN:DDI:dagstuhl16433.ddialliance.org:MinG1AgeID:1"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&gt;&lt;/Source&gt;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&lt;Target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"URN:DDI:dagstuhl16433.ddialliance.org:MaxG1AgeID:1"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&gt;&lt;/Target&gt;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OP5A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&lt;Source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"URN:DDI:dagstuhl16433.ddialliance.org:MaxG1AgeID:1"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&gt;&lt;/Source&gt;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&lt;Target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InstanceVariable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"URN:DDI:dagstuhl16433.ddialliance.org:NID:1"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&gt;&lt;/Target&gt;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PhysicalLayoutOrderedPair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SVD_integer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DescribedValueDomain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"URN:DDI:dagstuhl16433.ddialliance.org:VCD_integer:1"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&gt;&lt;/DescribedValueDomain&gt;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VCD_integer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&lt;Description&gt;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An integer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&lt;/Description&gt;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RegularExpression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/-*[0123456789]+/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RegularExpression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SVD_precisionReal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DescribedValueDomain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"URN:DDI:dagstuhl16433.ddialliance.org:VCD_precisionReal:1"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&gt;&lt;/DescribedValueDomain&gt;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SubstantiveValueDomain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VCD_precisionReal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&lt;Description&gt;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A real number with at least 10 decimal digits precision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&lt;/Description&gt;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ValueAndConceptDescription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SentinelValueDomain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522902bd-d612-4f4a-8ff1-5082651b0f52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EnumeratedValueDomain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CodeList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EnumeratedValueDomain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SentinelValueDomain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CodeList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IDCLNeg1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proofErr w:type="spellStart"/>
      <w:r w:rsidRPr="004D5756">
        <w:rPr>
          <w:rFonts w:ascii="Times New Roman" w:hAnsi="Times New Roman" w:cs="Times New Roman"/>
          <w:color w:val="993300"/>
          <w:sz w:val="18"/>
          <w:szCs w:val="18"/>
        </w:rPr>
        <w:t>CodeItem</w:t>
      </w:r>
      <w:proofErr w:type="spellEnd"/>
      <w:r w:rsidRPr="004D5756">
        <w:rPr>
          <w:rFonts w:ascii="Times New Roman" w:hAnsi="Times New Roman" w:cs="Times New Roman"/>
          <w:color w:val="993300"/>
          <w:sz w:val="18"/>
          <w:szCs w:val="18"/>
        </w:rPr>
        <w:t>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"URN:DDI:dagstuhl16433.ddialliance.org:IDCINeg1:1"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CodeList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CodeItem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IDCINeg1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&lt;Contains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"Code"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&gt;&lt;/Contains&gt;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TakesMeaningFrom</w:t>
      </w:r>
      <w:proofErr w:type="spellEnd"/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"Category"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"URN:DDI:dagstuhl16433.ddialliance.org:IDCatMiss:1"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&gt;&lt;/TakesMeaningFrom&gt;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CodeItem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&lt;Code&gt;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IDCDNeg1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6400"/>
          <w:sz w:val="18"/>
          <w:szCs w:val="18"/>
        </w:rPr>
        <w:t>&lt;!-- NOTE: we need an attribute for the actual code  --&gt;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&lt;Denotes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</w:t>
      </w:r>
      <w:proofErr w:type="spellStart"/>
      <w:r w:rsidRPr="004D5756">
        <w:rPr>
          <w:rFonts w:ascii="Times New Roman" w:hAnsi="Times New Roman" w:cs="Times New Roman"/>
          <w:color w:val="F5844C"/>
          <w:sz w:val="18"/>
          <w:szCs w:val="18"/>
        </w:rPr>
        <w:t>typeOfClass</w:t>
      </w:r>
      <w:proofErr w:type="spellEnd"/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"Category"</w:t>
      </w:r>
      <w:r w:rsidRPr="004D5756">
        <w:rPr>
          <w:rFonts w:ascii="Times New Roman" w:hAnsi="Times New Roman" w:cs="Times New Roman"/>
          <w:color w:val="F5844C"/>
          <w:sz w:val="18"/>
          <w:szCs w:val="18"/>
        </w:rPr>
        <w:t xml:space="preserve"> URI</w:t>
      </w:r>
      <w:r w:rsidRPr="004D5756">
        <w:rPr>
          <w:rFonts w:ascii="Times New Roman" w:hAnsi="Times New Roman" w:cs="Times New Roman"/>
          <w:color w:val="FF8040"/>
          <w:sz w:val="18"/>
          <w:szCs w:val="18"/>
        </w:rPr>
        <w:t>=</w:t>
      </w:r>
      <w:r w:rsidRPr="004D5756">
        <w:rPr>
          <w:rFonts w:ascii="Times New Roman" w:hAnsi="Times New Roman" w:cs="Times New Roman"/>
          <w:color w:val="993300"/>
          <w:sz w:val="18"/>
          <w:szCs w:val="18"/>
        </w:rPr>
        <w:t>"URN:DDI:dagstuhl16433.ddialliance.org:IDCatMiss:1"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&gt;&lt;/Denotes&gt;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&lt;/Code&gt;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&lt;Category&gt;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dagstuhl16433.ddialliance.org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&lt;/Agency&gt;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&lt;Id&gt;</w:t>
      </w:r>
      <w:proofErr w:type="spellStart"/>
      <w:r w:rsidRPr="004D5756">
        <w:rPr>
          <w:rFonts w:ascii="Times New Roman" w:hAnsi="Times New Roman" w:cs="Times New Roman"/>
          <w:color w:val="000000"/>
          <w:sz w:val="18"/>
          <w:szCs w:val="18"/>
        </w:rPr>
        <w:t>IDCatMiss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&lt;/Id&gt;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&lt;/Version&gt;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t>Missing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&lt;/Content&gt;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</w:t>
      </w:r>
      <w:proofErr w:type="spellStart"/>
      <w:r w:rsidRPr="004D5756">
        <w:rPr>
          <w:rFonts w:ascii="Times New Roman" w:hAnsi="Times New Roman" w:cs="Times New Roman"/>
          <w:color w:val="000096"/>
          <w:sz w:val="18"/>
          <w:szCs w:val="18"/>
        </w:rPr>
        <w:t>DescriptiveText</w:t>
      </w:r>
      <w:proofErr w:type="spellEnd"/>
      <w:r w:rsidRPr="004D5756">
        <w:rPr>
          <w:rFonts w:ascii="Times New Roman" w:hAnsi="Times New Roman" w:cs="Times New Roman"/>
          <w:color w:val="000096"/>
          <w:sz w:val="18"/>
          <w:szCs w:val="18"/>
        </w:rPr>
        <w:t>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&lt;/Category&gt;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</w:t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5756">
        <w:rPr>
          <w:rFonts w:ascii="Times New Roman" w:hAnsi="Times New Roman" w:cs="Times New Roman"/>
          <w:color w:val="000096"/>
          <w:sz w:val="18"/>
          <w:szCs w:val="18"/>
        </w:rPr>
        <w:t>&lt;/DDI&gt;</w:t>
      </w:r>
    </w:p>
    <w:p w:rsidR="006A5825" w:rsidRDefault="006A5825" w:rsidP="006A5825">
      <w:pPr>
        <w:pStyle w:val="Heading1"/>
        <w:numPr>
          <w:ilvl w:val="0"/>
          <w:numId w:val="1"/>
        </w:numPr>
      </w:pPr>
      <w:r>
        <w:t>Adherence to Design Principles</w:t>
      </w:r>
    </w:p>
    <w:p w:rsidR="00295BA8" w:rsidRPr="00895060" w:rsidRDefault="00295BA8" w:rsidP="00295BA8">
      <w:pPr>
        <w:ind w:left="360"/>
      </w:pPr>
      <w:r>
        <w:t xml:space="preserve">[Look at the </w:t>
      </w:r>
      <w:hyperlink r:id="rId8" w:history="1">
        <w:r w:rsidRPr="005A3794">
          <w:rPr>
            <w:rStyle w:val="Hyperlink"/>
          </w:rPr>
          <w:t>DDI 4 Design Principles</w:t>
        </w:r>
      </w:hyperlink>
      <w:r>
        <w:t xml:space="preserve"> and indicate rationale/discuss each in light of this example.]</w:t>
      </w:r>
    </w:p>
    <w:p w:rsidR="006A5825" w:rsidRPr="006A5825" w:rsidRDefault="006A5825" w:rsidP="006A5825">
      <w:pPr>
        <w:pStyle w:val="Heading1"/>
        <w:ind w:left="720"/>
      </w:pPr>
      <w:r>
        <w:t xml:space="preserve"> </w:t>
      </w:r>
    </w:p>
    <w:p w:rsidR="002D1993" w:rsidRDefault="002D1993" w:rsidP="002D1993"/>
    <w:p w:rsidR="002D1993" w:rsidRPr="002D1993" w:rsidRDefault="002D1993" w:rsidP="002D1993"/>
    <w:sectPr w:rsidR="002D1993" w:rsidRPr="002D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7FE7"/>
    <w:multiLevelType w:val="hybridMultilevel"/>
    <w:tmpl w:val="4D30A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B1D"/>
    <w:multiLevelType w:val="hybridMultilevel"/>
    <w:tmpl w:val="192C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3"/>
    <w:rsid w:val="00031247"/>
    <w:rsid w:val="00084E6F"/>
    <w:rsid w:val="0008688F"/>
    <w:rsid w:val="00107893"/>
    <w:rsid w:val="00233373"/>
    <w:rsid w:val="00295BA8"/>
    <w:rsid w:val="002D1993"/>
    <w:rsid w:val="00327063"/>
    <w:rsid w:val="003346C7"/>
    <w:rsid w:val="003D4A5E"/>
    <w:rsid w:val="004B527A"/>
    <w:rsid w:val="004D5756"/>
    <w:rsid w:val="004F682C"/>
    <w:rsid w:val="005C5476"/>
    <w:rsid w:val="00653AE7"/>
    <w:rsid w:val="006826C9"/>
    <w:rsid w:val="006A5825"/>
    <w:rsid w:val="0070169D"/>
    <w:rsid w:val="00890D85"/>
    <w:rsid w:val="00895060"/>
    <w:rsid w:val="00957A16"/>
    <w:rsid w:val="0096067D"/>
    <w:rsid w:val="00A267D8"/>
    <w:rsid w:val="00A30D07"/>
    <w:rsid w:val="00AE2145"/>
    <w:rsid w:val="00B8101C"/>
    <w:rsid w:val="00C72917"/>
    <w:rsid w:val="00CA5309"/>
    <w:rsid w:val="00DD4418"/>
    <w:rsid w:val="00E028F6"/>
    <w:rsid w:val="00EB3F6F"/>
    <w:rsid w:val="00EC36D4"/>
    <w:rsid w:val="00EF6C4B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3BE8-268E-4414-AF78-BA175CB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5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5BA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1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8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2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download/attachments/37552132/Design_Principles.pdf?version=1&amp;modificationDate=1466520975681&amp;api=v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27819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Hoyle, Larry</cp:lastModifiedBy>
  <cp:revision>22</cp:revision>
  <dcterms:created xsi:type="dcterms:W3CDTF">2016-10-13T09:18:00Z</dcterms:created>
  <dcterms:modified xsi:type="dcterms:W3CDTF">2016-10-28T09:06:00Z</dcterms:modified>
</cp:coreProperties>
</file>