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hanging="360"/>
        <w:contextualSpacing w:val="0"/>
      </w:pPr>
      <w:bookmarkStart w:colFirst="0" w:colLast="0" w:name="_vtaoovmm1sf6" w:id="0"/>
      <w:bookmarkEnd w:id="0"/>
      <w:r w:rsidDel="00000000" w:rsidR="00000000" w:rsidRPr="00000000">
        <w:rPr>
          <w:rtl w:val="0"/>
        </w:rPr>
        <w:t xml:space="preserve">Grant Application Components:</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rtl w:val="0"/>
        </w:rPr>
        <w:t xml:space="preserve">Note that most of the following would be text written as-is to plug right into a proposal, whereas others (*) would more likely be examples which proposal writers could look to when writing their own comparable sections (as they would all be different for each proposal, whereas many of the other components would be the same across proposals):</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Background on the standard/statement of what DDI 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Discussion of DDI versions (including what version will be used for the project)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Overview of whole infrastructure vision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Description of the variable cascade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User/stakeholder needs, e.g.: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Use cases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Dataset formats used by end researchers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Coordination plan among players in the overall infrastructure to ensure that components are working together to achieve the overview/system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*Community outreach: DDI developers, researchers, archives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*Impact statement (adapted to the problem you’re trying to address)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*Dissemination of the product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*Sustainability of the product/tool/service</w:t>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ind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Existing grant projects which could serve as examples: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Cornell NCRN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“Continuous Capture of Metadata for Statistical Data,” PI George Alter, University of Michigan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Synergies for Europe's Research Infrastructures in the Social Sciences (SERISS)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