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rPr/>
      </w:pPr>
      <w:r w:rsidDel="00000000" w:rsidR="00000000" w:rsidRPr="00000000">
        <w:rPr>
          <w:rtl w:val="0"/>
        </w:rPr>
        <w:t xml:space="preserve">UML</w:t>
      </w:r>
      <w:r w:rsidDel="00000000" w:rsidR="00000000" w:rsidRPr="00000000">
        <w:rPr>
          <w:rtl w:val="0"/>
        </w:rPr>
        <w:t xml:space="preserve"> Specification and Validation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26 November 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In-line documentation in the transformation code should reference the rules that are being applied.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6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260"/>
        <w:gridCol w:w="7020"/>
        <w:gridCol w:w="1800"/>
        <w:tblGridChange w:id="0">
          <w:tblGrid>
            <w:gridCol w:w="585"/>
            <w:gridCol w:w="4260"/>
            <w:gridCol w:w="7020"/>
            <w:gridCol w:w="180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UML PIM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Validation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conventions for classes, properties and relationships must follow the identified naming rules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Criteria according to document “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3572b0"/>
                  <w:sz w:val="21"/>
                  <w:szCs w:val="21"/>
                  <w:highlight w:val="white"/>
                  <w:u w:val="single"/>
                  <w:rtl w:val="0"/>
                </w:rPr>
                <w:t xml:space="preserve">Syntax for names in models and bindings</w:t>
              </w:r>
            </w:hyperlink>
            <w:r w:rsidDel="00000000" w:rsidR="00000000" w:rsidRPr="00000000">
              <w:rPr>
                <w:rtl w:val="0"/>
              </w:rPr>
              <w:t xml:space="preserve">” plus additions on ISO 11170 rules, length restrictions, and prefix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following list of classes, properties and relationships must contain documentation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Property: Cardinality;DataType,Description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Relationship:TargetObject;Description;Source Cardinality;TargetCardinality;RelationshipType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PIM will only contain those packages and functional views</w:t>
            </w:r>
            <w:commentRangeStart w:id="0"/>
            <w:r w:rsidDel="00000000" w:rsidR="00000000" w:rsidRPr="00000000">
              <w:rPr>
                <w:rtl w:val="0"/>
              </w:rPr>
              <w:t xml:space="preserve"> flagged for publication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Validate with common UML editors. The editors have different sets of validation tests. They usually work not in batch mode and most of them require a commercial license.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360" w:footer="36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oachim Wackerow" w:id="0" w:date="2018-11-26T12:56:23Z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existing yet, maybe a future feature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di-alliance.atlassian.net/wiki/download/attachments/620691457/Syntax%20for%20names%20in%20models%20and%20bindings.docx?version=1&amp;modificationDate=1543236684768&amp;cacheVersion=1&amp;api=v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