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hyperlink r:id="rId6">
        <w:r w:rsidDel="00000000" w:rsidR="00000000" w:rsidRPr="00000000">
          <w:rPr>
            <w:color w:val="1155cc"/>
            <w:u w:val="single"/>
            <w:rtl w:val="0"/>
          </w:rPr>
          <w:t xml:space="preserve">https://www.icpsr.umich.edu/icpsrweb/ICPSR/studies/25505</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color w:val="ff0000"/>
          <w:u w:val="none"/>
        </w:rPr>
      </w:pPr>
      <w:r w:rsidDel="00000000" w:rsidR="00000000" w:rsidRPr="00000000">
        <w:rPr>
          <w:color w:val="ff0000"/>
          <w:rtl w:val="0"/>
        </w:rPr>
        <w:t xml:space="preserve">Study has partOfSeries which contain info about the Series - how do we link / point to the series - i.e., Collection -&gt;  how do we point to the members of a collection?</w:t>
      </w:r>
    </w:p>
    <w:p w:rsidR="00000000" w:rsidDel="00000000" w:rsidP="00000000" w:rsidRDefault="00000000" w:rsidRPr="00000000">
      <w:pPr>
        <w:numPr>
          <w:ilvl w:val="0"/>
          <w:numId w:val="4"/>
        </w:numPr>
        <w:ind w:left="720" w:hanging="360"/>
        <w:contextualSpacing w:val="1"/>
        <w:rPr>
          <w:color w:val="ff0000"/>
          <w:u w:val="none"/>
        </w:rPr>
      </w:pPr>
      <w:r w:rsidDel="00000000" w:rsidR="00000000" w:rsidRPr="00000000">
        <w:rPr>
          <w:color w:val="ff0000"/>
          <w:rtl w:val="0"/>
        </w:rPr>
        <w:t xml:space="preserve">Where is collection date ???? - </w:t>
      </w:r>
    </w:p>
    <w:p w:rsidR="00000000" w:rsidDel="00000000" w:rsidP="00000000" w:rsidRDefault="00000000" w:rsidRPr="00000000">
      <w:pPr>
        <w:ind w:left="0" w:firstLine="0"/>
        <w:contextualSpacing w:val="0"/>
        <w:rPr>
          <w:color w:val="ff0000"/>
        </w:rPr>
      </w:pPr>
      <w:r w:rsidDel="00000000" w:rsidR="00000000" w:rsidRPr="00000000">
        <w:rPr>
          <w:color w:val="ff0000"/>
          <w:rtl w:val="0"/>
        </w:rPr>
        <w:t xml:space="preserve">     2a. Crazy dates - controlled vocabulary will not make it possible to be interoperable, eg.,    start/end or collection period.</w:t>
      </w:r>
    </w:p>
    <w:p w:rsidR="00000000" w:rsidDel="00000000" w:rsidP="00000000" w:rsidRDefault="00000000" w:rsidRPr="00000000">
      <w:pPr>
        <w:ind w:left="0" w:firstLine="0"/>
        <w:contextualSpacing w:val="0"/>
        <w:rPr>
          <w:color w:val="ff0000"/>
        </w:rPr>
      </w:pPr>
      <w:r w:rsidDel="00000000" w:rsidR="00000000" w:rsidRPr="00000000">
        <w:rPr>
          <w:color w:val="ff0000"/>
          <w:rtl w:val="0"/>
        </w:rPr>
        <w:t xml:space="preserve">          Even if there is a CV for dateType, it cannot cover both time period covered vs data    collection and single date vs range or start/end date as these are conceptually different and would go into different CV lists.</w:t>
      </w:r>
    </w:p>
    <w:p w:rsidR="00000000" w:rsidDel="00000000" w:rsidP="00000000" w:rsidRDefault="00000000" w:rsidRPr="00000000">
      <w:pPr>
        <w:ind w:left="1440" w:firstLine="0"/>
        <w:contextualSpacing w:val="0"/>
        <w:rPr>
          <w:color w:val="ff0000"/>
        </w:rPr>
      </w:pPr>
      <w:r w:rsidDel="00000000" w:rsidR="00000000" w:rsidRPr="00000000">
        <w:rPr>
          <w:b w:val="1"/>
          <w:color w:val="ff0000"/>
          <w:rtl w:val="0"/>
        </w:rPr>
        <w:t xml:space="preserve">Time Period:</w:t>
      </w:r>
      <w:r w:rsidDel="00000000" w:rsidR="00000000" w:rsidRPr="00000000">
        <w:rPr>
          <w:color w:val="ff0000"/>
          <w:rtl w:val="0"/>
        </w:rPr>
        <w:t xml:space="preserve">  </w:t>
      </w:r>
    </w:p>
    <w:p w:rsidR="00000000" w:rsidDel="00000000" w:rsidP="00000000" w:rsidRDefault="00000000" w:rsidRPr="00000000">
      <w:pPr>
        <w:numPr>
          <w:ilvl w:val="0"/>
          <w:numId w:val="5"/>
        </w:numPr>
        <w:ind w:left="2160" w:hanging="360"/>
        <w:contextualSpacing w:val="1"/>
        <w:rPr>
          <w:color w:val="ff0000"/>
        </w:rPr>
      </w:pPr>
      <w:r w:rsidDel="00000000" w:rsidR="00000000" w:rsidRPr="00000000">
        <w:rPr>
          <w:color w:val="ff0000"/>
          <w:rtl w:val="0"/>
        </w:rPr>
        <w:t xml:space="preserve">2007--2008</w:t>
      </w:r>
    </w:p>
    <w:p w:rsidR="00000000" w:rsidDel="00000000" w:rsidP="00000000" w:rsidRDefault="00000000" w:rsidRPr="00000000">
      <w:pPr>
        <w:ind w:left="1440" w:firstLine="0"/>
        <w:contextualSpacing w:val="0"/>
        <w:rPr>
          <w:color w:val="ff0000"/>
        </w:rPr>
      </w:pPr>
      <w:r w:rsidDel="00000000" w:rsidR="00000000" w:rsidRPr="00000000">
        <w:rPr>
          <w:b w:val="1"/>
          <w:color w:val="ff0000"/>
          <w:rtl w:val="0"/>
        </w:rPr>
        <w:t xml:space="preserve">Date of Collection:</w:t>
      </w:r>
      <w:r w:rsidDel="00000000" w:rsidR="00000000" w:rsidRPr="00000000">
        <w:rPr>
          <w:rtl w:val="0"/>
        </w:rPr>
      </w:r>
    </w:p>
    <w:p w:rsidR="00000000" w:rsidDel="00000000" w:rsidP="00000000" w:rsidRDefault="00000000" w:rsidRPr="00000000">
      <w:pPr>
        <w:numPr>
          <w:ilvl w:val="0"/>
          <w:numId w:val="3"/>
        </w:numPr>
        <w:ind w:left="2160" w:hanging="360"/>
        <w:contextualSpacing w:val="1"/>
        <w:rPr>
          <w:color w:val="ff0000"/>
        </w:rPr>
      </w:pPr>
      <w:r w:rsidDel="00000000" w:rsidR="00000000" w:rsidRPr="00000000">
        <w:rPr>
          <w:color w:val="ff0000"/>
          <w:rtl w:val="0"/>
        </w:rPr>
        <w:t xml:space="preserve">2007-01--2008-12</w:t>
        <w:tab/>
      </w:r>
    </w:p>
    <w:p w:rsidR="00000000" w:rsidDel="00000000" w:rsidP="00000000" w:rsidRDefault="00000000" w:rsidRPr="00000000">
      <w:pPr>
        <w:contextualSpacing w:val="0"/>
        <w:rPr>
          <w:color w:val="ff0000"/>
        </w:rPr>
      </w:pPr>
      <w:r w:rsidDel="00000000" w:rsidR="00000000" w:rsidRPr="00000000">
        <w:rPr>
          <w:color w:val="ff0000"/>
          <w:rtl w:val="0"/>
        </w:rPr>
        <w:t xml:space="preserve">3. In 2.x and 3.x the different aspects of methodology are documented under specific sub-classes.</w:t>
      </w:r>
    </w:p>
    <w:p w:rsidR="00000000" w:rsidDel="00000000" w:rsidP="00000000" w:rsidRDefault="00000000" w:rsidRPr="00000000">
      <w:pPr>
        <w:contextualSpacing w:val="0"/>
        <w:rPr>
          <w:color w:val="ff0000"/>
        </w:rPr>
      </w:pPr>
      <w:r w:rsidDel="00000000" w:rsidR="00000000" w:rsidRPr="00000000">
        <w:rPr>
          <w:color w:val="ff0000"/>
          <w:rtl w:val="0"/>
        </w:rPr>
        <w:t xml:space="preserve">Here I can only see a Methodology class that is nestable. We could use multiple separate elements to document the different pieces of methodology, but I see no “type” specification to differentiate among these: most importantly, there is no special container/i.e., property for Weighting.</w:t>
      </w:r>
    </w:p>
    <w:p w:rsidR="00000000" w:rsidDel="00000000" w:rsidP="00000000" w:rsidRDefault="00000000" w:rsidRPr="00000000">
      <w:pPr>
        <w:contextualSpacing w:val="0"/>
        <w:rPr>
          <w:color w:val="ff0000"/>
        </w:rPr>
      </w:pPr>
      <w:r w:rsidDel="00000000" w:rsidR="00000000" w:rsidRPr="00000000">
        <w:rPr>
          <w:color w:val="ff0000"/>
          <w:rtl w:val="0"/>
        </w:rPr>
        <w:t xml:space="preserve">4. There is no dedicated container/i.e., property for Mode of Collection.</w:t>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46"/>
          <w:szCs w:val="46"/>
        </w:rPr>
      </w:pPr>
      <w:r w:rsidDel="00000000" w:rsidR="00000000" w:rsidRPr="00000000">
        <w:rPr>
          <w:rtl w:val="0"/>
        </w:rPr>
        <w:t xml:space="preserve">Study Title: </w:t>
      </w:r>
      <w:r w:rsidDel="00000000" w:rsidR="00000000" w:rsidRPr="00000000">
        <w:rPr>
          <w:rtl w:val="0"/>
        </w:rPr>
        <w:t xml:space="preserve">National Health and Nutrition Examination Survey (NHANES), 2007-2008 (ICPSR 25505)</w:t>
      </w: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Study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Annotation:</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title: National Health….(NHANES)...”</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creator: </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AgentAssociation</w:t>
      </w:r>
    </w:p>
    <w:p w:rsidR="00000000" w:rsidDel="00000000" w:rsidP="00000000" w:rsidRDefault="00000000" w:rsidRPr="00000000">
      <w:pPr>
        <w:numPr>
          <w:ilvl w:val="4"/>
          <w:numId w:val="2"/>
        </w:numPr>
        <w:ind w:left="3600" w:hanging="360"/>
        <w:contextualSpacing w:val="1"/>
        <w:rPr>
          <w:u w:val="none"/>
        </w:rPr>
      </w:pPr>
      <w:r w:rsidDel="00000000" w:rsidR="00000000" w:rsidRPr="00000000">
        <w:rPr>
          <w:rtl w:val="0"/>
        </w:rPr>
        <w:t xml:space="preserve">agentName: “US Dept. of ….”  </w:t>
      </w:r>
    </w:p>
    <w:p w:rsidR="00000000" w:rsidDel="00000000" w:rsidP="00000000" w:rsidRDefault="00000000" w:rsidRPr="00000000">
      <w:pPr>
        <w:numPr>
          <w:ilvl w:val="4"/>
          <w:numId w:val="2"/>
        </w:numPr>
        <w:ind w:left="3600" w:hanging="360"/>
        <w:contextualSpacing w:val="1"/>
        <w:rPr>
          <w:u w:val="none"/>
        </w:rPr>
      </w:pPr>
      <w:r w:rsidDel="00000000" w:rsidR="00000000" w:rsidRPr="00000000">
        <w:rPr>
          <w:rtl w:val="0"/>
        </w:rPr>
        <w:t xml:space="preserve">role: “Principal Investigator”</w:t>
      </w:r>
    </w:p>
    <w:p w:rsidR="00000000" w:rsidDel="00000000" w:rsidP="00000000" w:rsidRDefault="00000000" w:rsidRPr="00000000">
      <w:pPr>
        <w:numPr>
          <w:ilvl w:val="2"/>
          <w:numId w:val="2"/>
        </w:numPr>
        <w:ind w:left="2160" w:hanging="360"/>
        <w:contextualSpacing w:val="1"/>
        <w:rPr>
          <w:u w:val="none"/>
        </w:rPr>
      </w:pPr>
      <w:commentRangeStart w:id="0"/>
      <w:r w:rsidDel="00000000" w:rsidR="00000000" w:rsidRPr="00000000">
        <w:rPr>
          <w:rtl w:val="0"/>
        </w:rPr>
        <w:t xml:space="preserve">contributor</w:t>
      </w:r>
    </w:p>
    <w:p w:rsidR="00000000" w:rsidDel="00000000" w:rsidP="00000000" w:rsidRDefault="00000000" w:rsidRPr="00000000">
      <w:pPr>
        <w:numPr>
          <w:ilvl w:val="3"/>
          <w:numId w:val="2"/>
        </w:numPr>
        <w:ind w:left="2880" w:hanging="360"/>
        <w:contextualSpacing w:val="1"/>
        <w:rPr/>
      </w:pPr>
      <w:r w:rsidDel="00000000" w:rsidR="00000000" w:rsidRPr="00000000">
        <w:rPr>
          <w:rtl w:val="0"/>
        </w:rPr>
        <w:t xml:space="preserve">AgentAssociation</w:t>
      </w:r>
    </w:p>
    <w:p w:rsidR="00000000" w:rsidDel="00000000" w:rsidP="00000000" w:rsidRDefault="00000000" w:rsidRPr="00000000">
      <w:pPr>
        <w:numPr>
          <w:ilvl w:val="4"/>
          <w:numId w:val="2"/>
        </w:numPr>
        <w:ind w:left="3600" w:hanging="360"/>
        <w:contextualSpacing w:val="1"/>
        <w:rPr/>
      </w:pPr>
      <w:r w:rsidDel="00000000" w:rsidR="00000000" w:rsidRPr="00000000">
        <w:rPr>
          <w:rtl w:val="0"/>
        </w:rPr>
        <w:t xml:space="preserve">agentName: “ICPSR.”  </w:t>
      </w:r>
    </w:p>
    <w:p w:rsidR="00000000" w:rsidDel="00000000" w:rsidP="00000000" w:rsidRDefault="00000000" w:rsidRPr="00000000">
      <w:pPr>
        <w:numPr>
          <w:ilvl w:val="4"/>
          <w:numId w:val="2"/>
        </w:numPr>
        <w:ind w:left="3600" w:hanging="360"/>
        <w:contextualSpacing w:val="1"/>
        <w:rPr/>
      </w:pPr>
      <w:r w:rsidDel="00000000" w:rsidR="00000000" w:rsidRPr="00000000">
        <w:rPr>
          <w:rtl w:val="0"/>
        </w:rPr>
        <w:t xml:space="preserve">role: distributor</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Date:  </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Isodate: 2012-02-22.</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identifier: https://doi.org/10.3886/ICPSR25505.v3</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versionIdentification: v3</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abstract: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partOfSeries : “NHANES etc”</w:t>
      </w:r>
      <w:r w:rsidDel="00000000" w:rsidR="00000000" w:rsidRPr="00000000">
        <w:rPr>
          <w:rtl w:val="0"/>
        </w:rPr>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Accessinformation: “…..”</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bibliographicCitation: “....”</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Coverage</w:t>
      </w:r>
    </w:p>
    <w:p w:rsidR="00000000" w:rsidDel="00000000" w:rsidP="00000000" w:rsidRDefault="00000000" w:rsidRPr="00000000">
      <w:pPr>
        <w:numPr>
          <w:ilvl w:val="1"/>
          <w:numId w:val="1"/>
        </w:numPr>
        <w:ind w:left="2160" w:hanging="360"/>
        <w:contextualSpacing w:val="1"/>
        <w:rPr>
          <w:u w:val="none"/>
        </w:rPr>
      </w:pPr>
      <w:r w:rsidDel="00000000" w:rsidR="00000000" w:rsidRPr="00000000">
        <w:rPr>
          <w:rtl w:val="0"/>
        </w:rPr>
        <w:t xml:space="preserve">TopicalCoverage</w:t>
      </w:r>
    </w:p>
    <w:p w:rsidR="00000000" w:rsidDel="00000000" w:rsidP="00000000" w:rsidRDefault="00000000" w:rsidRPr="00000000">
      <w:pPr>
        <w:numPr>
          <w:ilvl w:val="2"/>
          <w:numId w:val="1"/>
        </w:numPr>
        <w:ind w:left="2880" w:hanging="360"/>
        <w:contextualSpacing w:val="1"/>
        <w:rPr>
          <w:u w:val="none"/>
        </w:rPr>
      </w:pPr>
      <w:r w:rsidDel="00000000" w:rsidR="00000000" w:rsidRPr="00000000">
        <w:rPr>
          <w:rtl w:val="0"/>
        </w:rPr>
        <w:t xml:space="preserve">Keyword : “blah blah”</w:t>
      </w:r>
      <w:r w:rsidDel="00000000" w:rsidR="00000000" w:rsidRPr="00000000">
        <w:rPr>
          <w:rtl w:val="0"/>
        </w:rPr>
      </w:r>
    </w:p>
    <w:p w:rsidR="00000000" w:rsidDel="00000000" w:rsidP="00000000" w:rsidRDefault="00000000" w:rsidRPr="00000000">
      <w:pPr>
        <w:numPr>
          <w:ilvl w:val="1"/>
          <w:numId w:val="1"/>
        </w:numPr>
        <w:ind w:left="2160" w:hanging="360"/>
        <w:contextualSpacing w:val="1"/>
        <w:rPr>
          <w:u w:val="none"/>
        </w:rPr>
      </w:pPr>
      <w:r w:rsidDel="00000000" w:rsidR="00000000" w:rsidRPr="00000000">
        <w:rPr>
          <w:rtl w:val="0"/>
        </w:rPr>
        <w:t xml:space="preserve">SpatialCoverage</w:t>
      </w:r>
    </w:p>
    <w:p w:rsidR="00000000" w:rsidDel="00000000" w:rsidP="00000000" w:rsidRDefault="00000000" w:rsidRPr="00000000">
      <w:pPr>
        <w:numPr>
          <w:ilvl w:val="2"/>
          <w:numId w:val="1"/>
        </w:numPr>
        <w:ind w:left="2880" w:hanging="360"/>
        <w:contextualSpacing w:val="1"/>
        <w:rPr>
          <w:u w:val="none"/>
        </w:rPr>
      </w:pPr>
      <w:r w:rsidDel="00000000" w:rsidR="00000000" w:rsidRPr="00000000">
        <w:rPr>
          <w:rtl w:val="0"/>
        </w:rPr>
        <w:t xml:space="preserve">Description: “U.S.A.”</w:t>
        <w:tab/>
      </w:r>
    </w:p>
    <w:p w:rsidR="00000000" w:rsidDel="00000000" w:rsidP="00000000" w:rsidRDefault="00000000" w:rsidRPr="00000000">
      <w:pPr>
        <w:numPr>
          <w:ilvl w:val="1"/>
          <w:numId w:val="1"/>
        </w:numPr>
        <w:ind w:left="2160" w:hanging="360"/>
        <w:contextualSpacing w:val="1"/>
        <w:rPr>
          <w:u w:val="none"/>
        </w:rPr>
      </w:pPr>
      <w:r w:rsidDel="00000000" w:rsidR="00000000" w:rsidRPr="00000000">
        <w:rPr>
          <w:rtl w:val="0"/>
        </w:rPr>
        <w:t xml:space="preserve">TemporalCoverage</w:t>
      </w:r>
    </w:p>
    <w:p w:rsidR="00000000" w:rsidDel="00000000" w:rsidP="00000000" w:rsidRDefault="00000000" w:rsidRPr="00000000">
      <w:pPr>
        <w:numPr>
          <w:ilvl w:val="2"/>
          <w:numId w:val="1"/>
        </w:numPr>
        <w:ind w:left="2880" w:hanging="360"/>
        <w:contextualSpacing w:val="1"/>
        <w:rPr>
          <w:u w:val="none"/>
        </w:rPr>
      </w:pPr>
      <w:commentRangeStart w:id="1"/>
      <w:r w:rsidDel="00000000" w:rsidR="00000000" w:rsidRPr="00000000">
        <w:rPr>
          <w:rtl w:val="0"/>
        </w:rPr>
        <w:t xml:space="preserve">coverageDate:</w:t>
      </w:r>
    </w:p>
    <w:p w:rsidR="00000000" w:rsidDel="00000000" w:rsidP="00000000" w:rsidRDefault="00000000" w:rsidRPr="00000000">
      <w:pPr>
        <w:numPr>
          <w:ilvl w:val="3"/>
          <w:numId w:val="1"/>
        </w:numPr>
        <w:ind w:left="3600" w:hanging="360"/>
        <w:contextualSpacing w:val="1"/>
        <w:rPr>
          <w:u w:val="none"/>
        </w:rPr>
      </w:pPr>
      <w:r w:rsidDel="00000000" w:rsidR="00000000" w:rsidRPr="00000000">
        <w:rPr>
          <w:rtl w:val="0"/>
        </w:rPr>
        <w:t xml:space="preserve">typeOfDate: “start” from controlled vocabulary</w:t>
      </w:r>
    </w:p>
    <w:p w:rsidR="00000000" w:rsidDel="00000000" w:rsidP="00000000" w:rsidRDefault="00000000" w:rsidRPr="00000000">
      <w:pPr>
        <w:numPr>
          <w:ilvl w:val="3"/>
          <w:numId w:val="1"/>
        </w:numPr>
        <w:ind w:left="3600" w:hanging="360"/>
        <w:contextualSpacing w:val="1"/>
        <w:rPr>
          <w:u w:val="none"/>
        </w:rPr>
      </w:pPr>
      <w:r w:rsidDel="00000000" w:rsidR="00000000" w:rsidRPr="00000000">
        <w:rPr>
          <w:rtl w:val="0"/>
        </w:rPr>
        <w:t xml:space="preserve">isoDate:”2007</w:t>
      </w:r>
    </w:p>
    <w:p w:rsidR="00000000" w:rsidDel="00000000" w:rsidP="00000000" w:rsidRDefault="00000000" w:rsidRPr="00000000">
      <w:pPr>
        <w:numPr>
          <w:ilvl w:val="3"/>
          <w:numId w:val="1"/>
        </w:numPr>
        <w:ind w:left="3600" w:hanging="360"/>
        <w:contextualSpacing w:val="1"/>
        <w:rPr/>
      </w:pPr>
      <w:r w:rsidDel="00000000" w:rsidR="00000000" w:rsidRPr="00000000">
        <w:rPr>
          <w:rtl w:val="0"/>
        </w:rPr>
        <w:t xml:space="preserve">typeOfDate: “end” from controlled vocabulary</w:t>
      </w:r>
    </w:p>
    <w:p w:rsidR="00000000" w:rsidDel="00000000" w:rsidP="00000000" w:rsidRDefault="00000000" w:rsidRPr="00000000">
      <w:pPr>
        <w:numPr>
          <w:ilvl w:val="3"/>
          <w:numId w:val="1"/>
        </w:numPr>
        <w:ind w:left="3600" w:hanging="360"/>
        <w:contextualSpacing w:val="1"/>
        <w:rPr>
          <w:u w:val="none"/>
        </w:rPr>
      </w:pPr>
      <w:r w:rsidDel="00000000" w:rsidR="00000000" w:rsidRPr="00000000">
        <w:rPr>
          <w:rtl w:val="0"/>
        </w:rPr>
        <w:t xml:space="preserve">isoDate:”2008</w:t>
        <w:tab/>
        <w:t xml:space="preserve">  </w:t>
      </w:r>
    </w:p>
    <w:p w:rsidR="00000000" w:rsidDel="00000000" w:rsidP="00000000" w:rsidRDefault="00000000" w:rsidRPr="00000000">
      <w:pPr>
        <w:numPr>
          <w:ilvl w:val="0"/>
          <w:numId w:val="1"/>
        </w:numPr>
        <w:ind w:left="1440" w:hanging="360"/>
        <w:contextualSpacing w:val="1"/>
        <w:rPr>
          <w:u w:val="none"/>
        </w:rPr>
      </w:pPr>
      <w:commentRangeEnd w:id="1"/>
      <w:r w:rsidDel="00000000" w:rsidR="00000000" w:rsidRPr="00000000">
        <w:commentReference w:id="1"/>
      </w:r>
      <w:r w:rsidDel="00000000" w:rsidR="00000000" w:rsidRPr="00000000">
        <w:rPr>
          <w:rtl w:val="0"/>
        </w:rPr>
        <w:t xml:space="preserve">hasAnalysisUnit: unitType: “individual”</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hasPopulation: “The NHANES target population is the civilian, noninstitutionalized United States population”</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hasUniverse:”United States population”</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hasFundingInformation: FundingInformation:</w:t>
      </w:r>
    </w:p>
    <w:p w:rsidR="00000000" w:rsidDel="00000000" w:rsidP="00000000" w:rsidRDefault="00000000" w:rsidRPr="00000000">
      <w:pPr>
        <w:numPr>
          <w:ilvl w:val="1"/>
          <w:numId w:val="1"/>
        </w:numPr>
        <w:ind w:left="2160" w:hanging="360"/>
        <w:contextualSpacing w:val="1"/>
        <w:rPr>
          <w:u w:val="none"/>
        </w:rPr>
      </w:pPr>
      <w:r w:rsidDel="00000000" w:rsidR="00000000" w:rsidRPr="00000000">
        <w:rPr>
          <w:rtl w:val="0"/>
        </w:rPr>
        <w:t xml:space="preserve">hasFunder: AgentAssociation</w:t>
      </w:r>
    </w:p>
    <w:p w:rsidR="00000000" w:rsidDel="00000000" w:rsidP="00000000" w:rsidRDefault="00000000" w:rsidRPr="00000000">
      <w:pPr>
        <w:numPr>
          <w:ilvl w:val="2"/>
          <w:numId w:val="1"/>
        </w:numPr>
        <w:ind w:left="2880" w:hanging="360"/>
        <w:contextualSpacing w:val="1"/>
        <w:rPr>
          <w:u w:val="none"/>
        </w:rPr>
      </w:pPr>
      <w:r w:rsidDel="00000000" w:rsidR="00000000" w:rsidRPr="00000000">
        <w:rPr>
          <w:rtl w:val="0"/>
        </w:rPr>
        <w:t xml:space="preserve">AgentName: National Institutes of Health</w:t>
      </w:r>
    </w:p>
    <w:p w:rsidR="00000000" w:rsidDel="00000000" w:rsidP="00000000" w:rsidRDefault="00000000" w:rsidRPr="00000000">
      <w:pPr>
        <w:numPr>
          <w:ilvl w:val="2"/>
          <w:numId w:val="1"/>
        </w:numPr>
        <w:ind w:left="2880" w:hanging="360"/>
        <w:contextualSpacing w:val="1"/>
        <w:rPr>
          <w:u w:val="none"/>
        </w:rPr>
      </w:pPr>
      <w:r w:rsidDel="00000000" w:rsidR="00000000" w:rsidRPr="00000000">
        <w:rPr>
          <w:rtl w:val="0"/>
        </w:rPr>
        <w:t xml:space="preserve">grantNumber: “xxx”</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hasEmbargo: this class is enabled but our example does not have content for this.</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hasAccessInformation: Access</w:t>
      </w:r>
    </w:p>
    <w:p w:rsidR="00000000" w:rsidDel="00000000" w:rsidP="00000000" w:rsidRDefault="00000000" w:rsidRPr="00000000">
      <w:pPr>
        <w:numPr>
          <w:ilvl w:val="1"/>
          <w:numId w:val="1"/>
        </w:numPr>
        <w:ind w:left="2160" w:hanging="360"/>
        <w:contextualSpacing w:val="1"/>
        <w:rPr>
          <w:u w:val="none"/>
        </w:rPr>
      </w:pPr>
      <w:r w:rsidDel="00000000" w:rsidR="00000000" w:rsidRPr="00000000">
        <w:rPr>
          <w:rtl w:val="0"/>
        </w:rPr>
        <w:t xml:space="preserve">Access conditions: “The public-use data files in this collection are available for access by the general public. Access does not require affiliation with an ICPSR member institution.”</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hasSamplingProcedure</w:t>
      </w:r>
    </w:p>
    <w:p w:rsidR="00000000" w:rsidDel="00000000" w:rsidP="00000000" w:rsidRDefault="00000000" w:rsidRPr="00000000">
      <w:pPr>
        <w:numPr>
          <w:ilvl w:val="1"/>
          <w:numId w:val="1"/>
        </w:numPr>
        <w:ind w:left="2160" w:hanging="360"/>
        <w:contextualSpacing w:val="1"/>
        <w:rPr>
          <w:u w:val="none"/>
        </w:rPr>
      </w:pPr>
      <w:r w:rsidDel="00000000" w:rsidR="00000000" w:rsidRPr="00000000">
        <w:rPr>
          <w:rtl w:val="0"/>
        </w:rPr>
        <w:t xml:space="preserve">SamplingDesign: “The NHANES survey design is a stratified, multistage probability sample of the civilian noninstitutionalized United States population”</w:t>
      </w:r>
    </w:p>
    <w:p w:rsidR="00000000" w:rsidDel="00000000" w:rsidP="00000000" w:rsidRDefault="00000000" w:rsidRPr="00000000">
      <w:pPr>
        <w:numPr>
          <w:ilvl w:val="1"/>
          <w:numId w:val="1"/>
        </w:numPr>
        <w:ind w:left="2160" w:hanging="360"/>
        <w:contextualSpacing w:val="1"/>
        <w:rPr>
          <w:u w:val="none"/>
        </w:rPr>
      </w:pPr>
      <w:r w:rsidDel="00000000" w:rsidR="00000000" w:rsidRPr="00000000">
        <w:rPr>
          <w:rtl w:val="0"/>
        </w:rPr>
        <w:t xml:space="preserve">SamplingProcess: “The stages of sample selection are: (1) selection of Primary Sampling Units (PSUs) which are counties or small groups of contiguous counties, (2) segments within PSUs (a block or group of blocks containing a cluster of households), (3) households within segments, and (4) one or more participants within households. A total of 15 PSUs are visited during a 12-month time period. Details of the design and content of each survey are available at the</w:t>
      </w:r>
      <w:hyperlink r:id="rId7">
        <w:r w:rsidDel="00000000" w:rsidR="00000000" w:rsidRPr="00000000">
          <w:rPr>
            <w:rtl w:val="0"/>
          </w:rPr>
          <w:t xml:space="preserve"> </w:t>
        </w:r>
      </w:hyperlink>
      <w:hyperlink r:id="rId8">
        <w:r w:rsidDel="00000000" w:rsidR="00000000" w:rsidRPr="00000000">
          <w:rPr>
            <w:color w:val="1155cc"/>
            <w:u w:val="single"/>
            <w:rtl w:val="0"/>
          </w:rPr>
          <w:t xml:space="preserve">NHANES Web site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hasDesign:”The most recent series of data collection waves for NHANES began in 1999. Every year, approximately 7,000 individuals, of all ages, are interviewed in their homes and of these, approximately 5,000 complete the health examination component of the survey. The health examinations are conducted in mobile examination centers (MECs). The MECs provide an ideal setting for the collection of high quality data in a standardized environment. The NHANES target population is the civilian, noninstitutionalized United States population. In 2007-2008 a new sampling methodology was implemented…. etc.”</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hasMethodology:</w:t>
      </w:r>
    </w:p>
    <w:p w:rsidR="00000000" w:rsidDel="00000000" w:rsidP="00000000" w:rsidRDefault="00000000" w:rsidRPr="00000000">
      <w:pPr>
        <w:numPr>
          <w:ilvl w:val="1"/>
          <w:numId w:val="1"/>
        </w:numPr>
        <w:ind w:left="2160" w:hanging="360"/>
        <w:contextualSpacing w:val="1"/>
        <w:rPr>
          <w:u w:val="none"/>
        </w:rPr>
      </w:pPr>
      <w:r w:rsidDel="00000000" w:rsidR="00000000" w:rsidRPr="00000000">
        <w:rPr>
          <w:rtl w:val="0"/>
        </w:rPr>
        <w:t xml:space="preserve">MethodologyOverview:</w:t>
      </w:r>
    </w:p>
    <w:p w:rsidR="00000000" w:rsidDel="00000000" w:rsidP="00000000" w:rsidRDefault="00000000" w:rsidRPr="00000000">
      <w:pPr>
        <w:numPr>
          <w:ilvl w:val="2"/>
          <w:numId w:val="1"/>
        </w:numPr>
        <w:ind w:left="2880" w:hanging="360"/>
        <w:contextualSpacing w:val="1"/>
        <w:rPr>
          <w:u w:val="none"/>
        </w:rPr>
      </w:pPr>
      <w:r w:rsidDel="00000000" w:rsidR="00000000" w:rsidRPr="00000000">
        <w:rPr>
          <w:rtl w:val="0"/>
        </w:rPr>
        <w:t xml:space="preserve">ComponentMethodology: “</w:t>
      </w:r>
      <w:r w:rsidDel="00000000" w:rsidR="00000000" w:rsidRPr="00000000">
        <w:rPr>
          <w:b w:val="1"/>
          <w:rtl w:val="0"/>
        </w:rPr>
        <w:t xml:space="preserve">Target Populations: </w:t>
      </w:r>
      <w:r w:rsidDel="00000000" w:rsidR="00000000" w:rsidRPr="00000000">
        <w:rPr>
          <w:rtl w:val="0"/>
        </w:rPr>
        <w:t xml:space="preserve">There are different target population groups for the topics within and between NHANES questionnaire sections. For example,....</w:t>
      </w:r>
    </w:p>
    <w:p w:rsidR="00000000" w:rsidDel="00000000" w:rsidP="00000000" w:rsidRDefault="00000000" w:rsidRPr="00000000">
      <w:pPr>
        <w:numPr>
          <w:ilvl w:val="2"/>
          <w:numId w:val="1"/>
        </w:numPr>
        <w:ind w:left="2880" w:hanging="360"/>
        <w:contextualSpacing w:val="1"/>
        <w:rPr>
          <w:u w:val="none"/>
        </w:rPr>
      </w:pPr>
      <w:r w:rsidDel="00000000" w:rsidR="00000000" w:rsidRPr="00000000">
        <w:rPr>
          <w:rtl w:val="0"/>
        </w:rPr>
        <w:t xml:space="preserve">ComponentMethodology:”</w:t>
      </w:r>
      <w:r w:rsidDel="00000000" w:rsidR="00000000" w:rsidRPr="00000000">
        <w:rPr>
          <w:b w:val="1"/>
          <w:rtl w:val="0"/>
        </w:rPr>
        <w:t xml:space="preserve">The NHANES Health Examination Component: </w:t>
      </w:r>
      <w:r w:rsidDel="00000000" w:rsidR="00000000" w:rsidRPr="00000000">
        <w:rPr>
          <w:rtl w:val="0"/>
        </w:rPr>
        <w:t xml:space="preserve">When a participant arrives at the MEC, s/he is greeted by the MEC Coordinator, who is responsible for seeing to it that the SP receives all the appropriate exams for his/her gender and age. The SP changes from street clothes….”</w:t>
      </w:r>
    </w:p>
    <w:p w:rsidR="00000000" w:rsidDel="00000000" w:rsidP="00000000" w:rsidRDefault="00000000" w:rsidRPr="00000000">
      <w:pPr>
        <w:numPr>
          <w:ilvl w:val="2"/>
          <w:numId w:val="1"/>
        </w:numPr>
        <w:ind w:left="2880" w:hanging="360"/>
        <w:contextualSpacing w:val="1"/>
        <w:rPr>
          <w:u w:val="none"/>
        </w:rPr>
      </w:pPr>
      <w:r w:rsidDel="00000000" w:rsidR="00000000" w:rsidRPr="00000000">
        <w:rPr>
          <w:rtl w:val="0"/>
        </w:rPr>
        <w:t xml:space="preserve">Component Methodolgy: “</w:t>
      </w:r>
      <w:r w:rsidDel="00000000" w:rsidR="00000000" w:rsidRPr="00000000">
        <w:rPr>
          <w:b w:val="1"/>
          <w:rtl w:val="0"/>
        </w:rPr>
        <w:t xml:space="preserve">MEC Operations: </w:t>
      </w:r>
      <w:r w:rsidDel="00000000" w:rsidR="00000000" w:rsidRPr="00000000">
        <w:rPr>
          <w:rtl w:val="0"/>
        </w:rPr>
        <w:t xml:space="preserve">Three MECs are equipped for use in NHANES. Each MEC consists of four large, inter-connected trailer units. An advance team sets up….”</w:t>
      </w:r>
    </w:p>
    <w:p w:rsidR="00000000" w:rsidDel="00000000" w:rsidP="00000000" w:rsidRDefault="00000000" w:rsidRPr="00000000">
      <w:pPr>
        <w:numPr>
          <w:ilvl w:val="2"/>
          <w:numId w:val="1"/>
        </w:numPr>
        <w:ind w:left="2880" w:hanging="360"/>
        <w:contextualSpacing w:val="1"/>
        <w:rPr>
          <w:u w:val="none"/>
        </w:rPr>
      </w:pPr>
      <w:r w:rsidDel="00000000" w:rsidR="00000000" w:rsidRPr="00000000">
        <w:rPr>
          <w:rtl w:val="0"/>
        </w:rPr>
        <w:t xml:space="preserve">ComponentMethodology:”</w:t>
      </w:r>
      <w:r w:rsidDel="00000000" w:rsidR="00000000" w:rsidRPr="00000000">
        <w:rPr>
          <w:b w:val="1"/>
          <w:rtl w:val="0"/>
        </w:rPr>
        <w:t xml:space="preserve">Weight: </w:t>
      </w:r>
      <w:r w:rsidDel="00000000" w:rsidR="00000000" w:rsidRPr="00000000">
        <w:rPr>
          <w:rtl w:val="0"/>
        </w:rPr>
        <w:t xml:space="preserve">“ample weights are available for analyzing NHANES 2007-2008 data. Most data analyses require either the interviewed sample weight (variable name: WTINT2YR) or..”</w:t>
      </w:r>
    </w:p>
    <w:p w:rsidR="00000000" w:rsidDel="00000000" w:rsidP="00000000" w:rsidRDefault="00000000" w:rsidRPr="00000000">
      <w:pPr>
        <w:numPr>
          <w:ilvl w:val="2"/>
          <w:numId w:val="1"/>
        </w:numPr>
        <w:ind w:left="2880" w:hanging="360"/>
        <w:contextualSpacing w:val="1"/>
        <w:rPr>
          <w:u w:val="none"/>
        </w:rPr>
      </w:pPr>
      <w:r w:rsidDel="00000000" w:rsidR="00000000" w:rsidRPr="00000000">
        <w:rPr>
          <w:rtl w:val="0"/>
        </w:rPr>
      </w:r>
    </w:p>
    <w:p w:rsidR="00000000" w:rsidDel="00000000" w:rsidP="00000000" w:rsidRDefault="00000000" w:rsidRPr="00000000">
      <w:pPr>
        <w:numPr>
          <w:ilvl w:val="2"/>
          <w:numId w:val="1"/>
        </w:numPr>
        <w:ind w:left="2880" w:hanging="360"/>
        <w:contextualSpacing w:val="1"/>
        <w:rPr>
          <w:u w:val="none"/>
        </w:rPr>
      </w:pPr>
      <w:r w:rsidDel="00000000" w:rsidR="00000000" w:rsidRPr="00000000">
        <w:rPr>
          <w:rtl w:val="0"/>
        </w:rPr>
      </w:r>
    </w:p>
    <w:p w:rsidR="00000000" w:rsidDel="00000000" w:rsidP="00000000" w:rsidRDefault="00000000" w:rsidRPr="00000000">
      <w:pPr>
        <w:ind w:left="2160" w:firstLine="0"/>
        <w:contextualSpacing w:val="0"/>
        <w:rPr/>
      </w:pPr>
      <w:r w:rsidDel="00000000" w:rsidR="00000000" w:rsidRPr="00000000">
        <w:rPr>
          <w:rtl w:val="0"/>
        </w:rPr>
      </w:r>
    </w:p>
    <w:sectPr>
      <w:pgSz w:h="16838" w:w="11906"/>
      <w:pgMar w:bottom="1152" w:top="1152" w:left="1152" w:right="1152"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Jon Johnson" w:id="0" w:date="2017-10-24T14:35:0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Citation</w:t>
      </w:r>
    </w:p>
  </w:comment>
  <w:comment w:author="Jon Johnson" w:id="1" w:date="2017-10-24T14:35:4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time period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cpsr.umich.edu/icpsrweb/ICPSR/studies/25505" TargetMode="External"/><Relationship Id="rId7" Type="http://schemas.openxmlformats.org/officeDocument/2006/relationships/hyperlink" Target="http://www.cdc.gov/nchs/nhanes.htm" TargetMode="External"/><Relationship Id="rId8" Type="http://schemas.openxmlformats.org/officeDocument/2006/relationships/hyperlink" Target="http://www.cdc.gov/nchs/nhanes.htm" TargetMode="External"/></Relationships>
</file>