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ftdo8w5klmdo" w:id="0"/>
      <w:bookmarkEnd w:id="0"/>
      <w:r w:rsidDel="00000000" w:rsidR="00000000" w:rsidRPr="00000000">
        <w:rPr>
          <w:rtl w:val="0"/>
        </w:rPr>
        <w:t xml:space="preserve">Common Data Elements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CDE’s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https://cde.nlm.nih.gov/home</w:t>
        </w:r>
      </w:hyperlink>
      <w:r w:rsidDel="00000000" w:rsidR="00000000" w:rsidRPr="00000000">
        <w:rPr>
          <w:rtl w:val="0"/>
        </w:rPr>
        <w:t xml:space="preserve"> or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http://webarchive.nationalarchives.gov.uk/20160106185646/http://www.ons.gov.uk/ons/guide-method/harmonisation/primary-set-of-harmonised-concepts-and-questions/long-lasting-health-conditions-and-illnesses--impairments-and-disability.pdf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cde.nlm.nih.gov/home" TargetMode="External"/><Relationship Id="rId6" Type="http://schemas.openxmlformats.org/officeDocument/2006/relationships/hyperlink" Target="http://webarchive.nationalarchives.gov.uk/20160106185646/http://www.ons.gov.uk/ons/guide-method/harmonisation/primary-set-of-harmonised-concepts-and-questions/long-lasting-health-conditions-and-illnesses--impairments-and-disability.pdf" TargetMode="External"/></Relationships>
</file>