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widowControl w:val="0"/>
        <w:contextualSpacing w:val="0"/>
        <w:rPr/>
      </w:pPr>
      <w:bookmarkStart w:colFirst="0" w:colLast="0" w:name="_jcxx1p1d3xi1" w:id="0"/>
      <w:bookmarkEnd w:id="0"/>
      <w:r w:rsidDel="00000000" w:rsidR="00000000" w:rsidRPr="00000000">
        <w:rPr>
          <w:rtl w:val="0"/>
        </w:rPr>
        <w:t xml:space="preserve">Engagement with Global Digital Research Ecosystem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with DataCite to develop Best Practices for mapping DDI to DataCite metadata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with schema.org to influence the development of schema.org data descriptions and provide Best Practices for translating DDI to schema.org metadata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Engage with RDA IGs and WGs on development of research data infrastructure: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Incorporate RDA products into DDI, such as the standard for citation of dynamic data and standards for metadata registries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Engage with RDA WGs to assure that RDA products are consistent with DDI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Present DDI developments at RDA Plenaries on sessions with related developments in other research communities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Establish a DDI-relevant IG with RDA on X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Increase awareness of DDI in CODATA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with FORCE 11 to assure that DDI is coherent with FORCE 11 standards and demonstrate ways that DDI can advance FAIR objectives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communication with other metadata standards (SDMX, DataCite, schema.org, DATS, EML, Darwin Core, Dublin Core, etc.) through joint events and inviting leaders from other communities to DDI workshops</w:t>
      </w:r>
    </w:p>
    <w:p w:rsidR="00000000" w:rsidDel="00000000" w:rsidP="00000000" w:rsidRDefault="00000000" w:rsidRPr="00000000">
      <w:pPr>
        <w:pStyle w:val="Heading3"/>
        <w:widowControl w:val="0"/>
        <w:contextualSpacing w:val="0"/>
        <w:rPr/>
      </w:pPr>
      <w:bookmarkStart w:colFirst="0" w:colLast="0" w:name="_kp4r3dxdl4k3" w:id="1"/>
      <w:bookmarkEnd w:id="1"/>
      <w:r w:rsidDel="00000000" w:rsidR="00000000" w:rsidRPr="00000000">
        <w:rPr>
          <w:rtl w:val="0"/>
        </w:rPr>
        <w:t xml:space="preserve">Solving Common Problems for Current DDI Users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decision guidelines for selection and migration from DDI-C to DDI-L to DDI-M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communication on DDI-4 development and solicit community feedback through updates, webinars, etc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validation tools and profiles for DDI-C and DDI-L to assure interoperability of metadata created by different tools and organizations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the development of DDI related software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Publish a gap analysis focusing on needed software tools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Guidelines for software usability in applications using DDI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software developers through training and letters of commitment to funding agencies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</w:t>
      </w:r>
      <w:r w:rsidDel="00000000" w:rsidR="00000000" w:rsidRPr="00000000">
        <w:rPr>
          <w:rtl w:val="0"/>
        </w:rPr>
        <w:t xml:space="preserve">EDDI and NADDI to identify problems, pressure points, and obstacles to use of DDI </w:t>
      </w:r>
    </w:p>
    <w:p w:rsidR="00000000" w:rsidDel="00000000" w:rsidP="00000000" w:rsidRDefault="00000000" w:rsidRPr="00000000">
      <w:pPr>
        <w:pStyle w:val="Heading3"/>
        <w:widowControl w:val="0"/>
        <w:contextualSpacing w:val="0"/>
        <w:rPr/>
      </w:pPr>
      <w:bookmarkStart w:colFirst="0" w:colLast="0" w:name="_gpz4l91met87" w:id="2"/>
      <w:bookmarkEnd w:id="2"/>
      <w:r w:rsidDel="00000000" w:rsidR="00000000" w:rsidRPr="00000000">
        <w:rPr>
          <w:rtl w:val="0"/>
        </w:rPr>
        <w:t xml:space="preserve">Mobilising NSO Use of DDI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an NSO advisory committee consisting of members from NSO’s. 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are NSOs using metadata and what are their metadata problems?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DDI help with solutions?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DDI better serve NSOs? 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reach out to other NSOs?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DDI-based tools and services can be shared?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Promote successful uses [e.g., INSEE] of DDI at NSOs through professional meetings, webinars, websites, and publications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 from our experiences working with NSOs to reach out to other communities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