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This slide deck was presented at the RDA Plenary session of the </w:t>
      </w:r>
      <w:hyperlink r:id="rId5">
        <w:r w:rsidDel="00000000" w:rsidR="00000000" w:rsidRPr="00000000">
          <w:rPr>
            <w:color w:val="1155cc"/>
            <w:u w:val="single"/>
            <w:rtl w:val="0"/>
          </w:rPr>
          <w:t xml:space="preserve">Interest Group on Preservation Tools, Techniques, and Policies</w:t>
        </w:r>
      </w:hyperlink>
      <w:r w:rsidDel="00000000" w:rsidR="00000000" w:rsidRPr="00000000">
        <w:rPr>
          <w:rtl w:val="0"/>
        </w:rPr>
        <w:t xml:space="preserve"> on September 21, 2017.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Mike Kearney spoke on behalf of the Data Archive Interoperability working group of the Consultative Committee for Space Data Systems, which is the same group that produced the OAIS Reference Model.</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Here are points in the deck that I think are particularly relevant to DDI: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Slide 5: “Google’s Vint Cerf approached us and advocated stronger focus on technical interoperability for preservation archives.” A need exists for system interoperability standards to accompany the process model of the OAIS Reference Model.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Slide 6: “‘Core’ portions of the architecture will support all disciplines,” while “‘Protocols/plug-ins/APIs’ will be adapted to specific disciplines.”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Slide 12: The top half of the slide represents the OAIS Reference Model while the bottom half is the systems interoperability architectural layer.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3600" w:firstLine="0"/>
        <w:contextualSpacing w:val="0"/>
        <w:rPr/>
      </w:pPr>
      <w:r w:rsidDel="00000000" w:rsidR="00000000" w:rsidRPr="00000000">
        <w:rPr>
          <w:rtl w:val="0"/>
        </w:rPr>
      </w:r>
    </w:p>
    <w:p w:rsidR="00000000" w:rsidDel="00000000" w:rsidP="00000000" w:rsidRDefault="00000000" w:rsidRPr="00000000">
      <w:pPr>
        <w:ind w:left="2880" w:firstLine="0"/>
        <w:contextualSpacing w:val="0"/>
        <w:rPr/>
      </w:pPr>
      <w:r w:rsidDel="00000000" w:rsidR="00000000" w:rsidRPr="00000000">
        <w:rPr>
          <w:rtl w:val="0"/>
        </w:rPr>
      </w:r>
    </w:p>
    <w:p w:rsidR="00000000" w:rsidDel="00000000" w:rsidP="00000000" w:rsidRDefault="00000000" w:rsidRPr="00000000">
      <w:pPr>
        <w:ind w:left="2160" w:firstLine="0"/>
        <w:contextualSpacing w:val="0"/>
        <w:rPr/>
      </w:pPr>
      <w:r w:rsidDel="00000000" w:rsidR="00000000" w:rsidRPr="00000000">
        <w:rPr>
          <w:rtl w:val="0"/>
        </w:rPr>
      </w:r>
    </w:p>
    <w:p w:rsidR="00000000" w:rsidDel="00000000" w:rsidP="00000000" w:rsidRDefault="00000000" w:rsidRPr="00000000">
      <w:pPr>
        <w:ind w:left="1440" w:firstLine="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ab/>
        <w:t xml:space="preserve"> </w:t>
        <w:tab/>
        <w:t xml:space="preserve"> </w:t>
        <w:tab/>
        <w:t xml:space="preserve"> </w:t>
        <w:tab/>
        <w:tab/>
      </w:r>
    </w:p>
    <w:p w:rsidR="00000000" w:rsidDel="00000000" w:rsidP="00000000" w:rsidRDefault="00000000" w:rsidRPr="00000000">
      <w:pPr>
        <w:contextualSpacing w:val="0"/>
        <w:rPr/>
      </w:pPr>
      <w:r w:rsidDel="00000000" w:rsidR="00000000" w:rsidRPr="00000000">
        <w:rPr>
          <w:rtl w:val="0"/>
        </w:rPr>
        <w:tab/>
        <w:tab/>
        <w:tab/>
      </w:r>
    </w:p>
    <w:p w:rsidR="00000000" w:rsidDel="00000000" w:rsidP="00000000" w:rsidRDefault="00000000" w:rsidRPr="00000000">
      <w:pPr>
        <w:contextualSpacing w:val="0"/>
        <w:rPr/>
      </w:pPr>
      <w:r w:rsidDel="00000000" w:rsidR="00000000" w:rsidRPr="00000000">
        <w:rPr>
          <w:rtl w:val="0"/>
        </w:rPr>
        <w:tab/>
        <w:tab/>
        <w:tab/>
        <w:tab/>
      </w:r>
    </w:p>
    <w:p w:rsidR="00000000" w:rsidDel="00000000" w:rsidP="00000000" w:rsidRDefault="00000000" w:rsidRPr="00000000">
      <w:pPr>
        <w:contextualSpacing w:val="0"/>
        <w:rPr/>
      </w:pPr>
      <w:r w:rsidDel="00000000" w:rsidR="00000000" w:rsidRPr="00000000">
        <w:rPr>
          <w:rtl w:val="0"/>
        </w:rPr>
        <w:tab/>
        <w:tab/>
        <w:tab/>
        <w:tab/>
        <w:tab/>
      </w:r>
    </w:p>
    <w:p w:rsidR="00000000" w:rsidDel="00000000" w:rsidP="00000000" w:rsidRDefault="00000000" w:rsidRPr="00000000">
      <w:pPr>
        <w:contextualSpacing w:val="0"/>
        <w:rPr/>
      </w:pPr>
      <w:r w:rsidDel="00000000" w:rsidR="00000000" w:rsidRPr="00000000">
        <w:rPr>
          <w:rtl w:val="0"/>
        </w:rPr>
        <w:tab/>
        <w:tab/>
        <w:tab/>
        <w:tab/>
        <w:tab/>
        <w:tab/>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ab/>
        <w:tab/>
        <w:tab/>
        <w:tab/>
      </w:r>
    </w:p>
    <w:p w:rsidR="00000000" w:rsidDel="00000000" w:rsidP="00000000" w:rsidRDefault="00000000" w:rsidRPr="00000000">
      <w:pPr>
        <w:contextualSpacing w:val="0"/>
        <w:rPr/>
      </w:pPr>
      <w:r w:rsidDel="00000000" w:rsidR="00000000" w:rsidRPr="00000000">
        <w:rPr>
          <w:rtl w:val="0"/>
        </w:rPr>
        <w:tab/>
        <w:tab/>
        <w:tab/>
        <w:tab/>
      </w:r>
    </w:p>
    <w:p w:rsidR="00000000" w:rsidDel="00000000" w:rsidP="00000000" w:rsidRDefault="00000000" w:rsidRPr="00000000">
      <w:pPr>
        <w:contextualSpacing w:val="0"/>
        <w:rPr/>
      </w:pPr>
      <w:r w:rsidDel="00000000" w:rsidR="00000000" w:rsidRPr="00000000">
        <w:rPr>
          <w:rtl w:val="0"/>
        </w:rPr>
        <w:tab/>
        <w:tab/>
        <w:tab/>
      </w:r>
    </w:p>
    <w:p w:rsidR="00000000" w:rsidDel="00000000" w:rsidP="00000000" w:rsidRDefault="00000000" w:rsidRPr="00000000">
      <w:pPr>
        <w:contextualSpacing w:val="0"/>
        <w:rPr/>
      </w:pPr>
      <w:r w:rsidDel="00000000" w:rsidR="00000000" w:rsidRPr="00000000">
        <w:rPr>
          <w:rtl w:val="0"/>
        </w:rPr>
        <w:tab/>
        <w:tab/>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rd-alliance.org/ig-preservation-tools-techniques-and-policies-rda-10th-plenary-meeting" TargetMode="External"/></Relationships>
</file>