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DDI ALLIANCE STRATEGIC PLANNING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ORGANISATION GROUP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FOCUS 1: GENERATIONAL RENEWAL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 Recruit the next generation of knowledgeable and skilled core technical development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This is critical to MAINTENANCE and DEVELOPMENT of the standard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Strategic focus regarding the maintenance and development of the standard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ACTION: incorporate core and development staffing requirements as part of the structural review (ensure that staffing we have is consistent with the standards maintenance activities) (WHO: Executive Board)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ACTION: Identifying the key technical staff that are available within member organisations to provide the core technical activities required (WHO: Project Manager)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ACTION: Maintain train the trainers program (WHO: 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Expand skilled marketing team that is connected to relevant communities (archives, software producers, data producers, statistical agencies, individual researchers, other standards)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ACTION: Development of a marketing strategy (WHO: Marketing chair)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Renew active and engaged membership at the institutional level in the DDI community (strengthening the commitment)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Important, but should come from the expanded role for the marketing group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FOCUS TWO: TRAINING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ISSUE: Enabling trainers to do what they need to do.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ACTION 1: Set priorities for training, propose to the Executive (training needs), and review of existing activities (WHO: Training group)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ACTION 2: Propose an agreed training “program”.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Use train the trainers to enable renewal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Establish online materials)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Introduction training??? (NOT A PRIORITY)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FOCUS 3: BUSINESS STRUCTURE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Establish a periodic review of organizational structure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Evaluate revised committee structure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are the tasks of the committee?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Meeting of committee heads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IS THE ACTION HERE?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Who is responsible - the Executive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NOTES: Do we have the right structure, people, and support in place?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Develop a sustainable business model for the Alliance (Strategic Plan)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Keep the business model the same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Growing the membership (Who is responsible for this?)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Consider in-kind contributions from members as possible alternate methods of providing resources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Other creative ways of bringing in talent (e.g. CLIR postdocs, PhDs)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Develop an organizational succession plan for the Alliance (Strategic Plan)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