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MIssion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Community-based organization with standards setting processes well developed (Mission)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Succession play for specification in case Alliance disappear  -- around continuity (Mission)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Integrate the CCSDS DAI (data archive interoperability) WG’s Architecture Concept (Strategic Plan, Mission)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Open to new technologies (Vision, Mission)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International partnerships (Strategic Plan &amp; Vision &amp; Mission)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DDI promotes the R in FAIR (the data and the metadata)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Vision Statement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Software implementations of DDI specifications and vocabularies (Strategic Plan &amp; Vision)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Integrate DDI across stakeholders activities across the lifecycle - greater participation from groups across the lifecycle (Strategic Plan &amp; Vision)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Integrate the CCSDS DAI (data archive interoperability) WG’s Architecture Concept (Strategic Plan, Mission)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Enable discovery, interoperability, and integration of distributed data (Vision)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Build DDI into Common Data Element registries (Strategic Plan &amp; Vision)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Adaptation to changes in information technologies (XML, RDF, Schema, …) (Strategic Plan &amp; Vision)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Open to new technologies (Vision, Mission)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Digital Research Infrastructure provider in the cloud: registry services operated by the DDI community (Strategic Plan &amp; Vision)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Primary foothold is at the latter stages of the lifecycle; little buy-in by data creators or researchers (Strategic Plan &amp; Vision)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DDI is not built into the tools that researchers and data creators use (Strategic Plan &amp; Vision)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Relationships with other research communities (Vision)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Domain isolation (SBE vs observational research) (Strategic Plan &amp; Vision, Mission)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International partnerships (Strategic Plan &amp; Vision &amp; Mission) 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 lot of data in DDI in the social sciences (Strategic Plan &amp; Vision)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Strategic Plan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22 years of experience with multiple lines of specifications and controlled vocabularies (Strategic Plan)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Knowledgeable and skilled core technical development team + marketing and training groups (Strategic Plan)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Loss of key experts in the community (Strategic Plan)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Loss of the DDI Host  (Strategic Plan)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Failure of adoption by software producers  (Strategic Plan)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Need to renew active membership in the community as leadership turns over  (Strategic Plan)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Too many specifications and incompatible dialects, partly solution could be validation tool, profiles (Strategic Plan)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Integrate DDI across stakeholders activities across the lifecycle - greater participation from groups across the lifecycle (Strategic Plan &amp; Vision)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Recognition by NSI’s (national statistical institutions) (Strategic Plan)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Active empirical SBE user communities (surveys, archives, etc) (Strategic Plan)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Enable discovery, interoperability, and integration of distributed data (Vision)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Build DDI into Common Data Element registries (Strategic Plan &amp; Vision)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Adaptation to changes in information technologies (XML, RDF, Schema, …) (Strategic Plan &amp; Vision)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Alignments with the international RDM community (look at FAIR partnerships or the new OCLC + euroCRIS partnership) (Strategic Plan)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Connect to new data discovery ecosystem, such as schema.org and DataCite (Strategic Plan)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Digital Research Infrastructure provider in the cloud: registry services operated by the DDI community (Strategic Plan &amp; Vision)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Uncertainty about path from DDI 2 to 3 to 4. (Strategic Plan)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Primary foothold is at the latter stages of the lifecycle; little buy-in by data creators or researchers (Strategic Plan &amp; Vision)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DDI is not built into the tools that researchers and data creators use (Strategic Plan &amp; Vision)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Domain isolation (SBE vs observational research) (Strategic Plan &amp; Vision, Mission)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Sustainable business model(Strategic Plan)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Lack of an organizational succession plan (Strategic Plan)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Skilled trainers (Strategic Plan)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 lot of data in DDI in the social sciences (Strategic Plan &amp; Vision)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