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Strategic Plan Outline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Why now? Previous plan ended 2017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New challenges: see vision document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Process: how we are going about the development of the next strategic plan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Strategic Goals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Maintaining multiple lines of specifications and controlled vocabularies (Strategic 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Offering stable specifications and controlled vocabularies (reference Work Products)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Enable DDI specs to adapt to changes in information technologies and bindings (XML, RDF, Schema,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Production testing/validation for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Improve documentation/examples/best practices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Introduce validation tools, testing support, and profiles/views for users for the purpose of interoperability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Test cases, test bed, test harness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Rules for validation/reporting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Registries-repositories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Specify DDI's vision of building DDI into Common Data Element registries (Strategic Plan &amp; Vision)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Identify ways for establishing registries for supporting existing legacy DDI metadata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Develop standard query and exchange protocols/interfaces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Community Goals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Engagement with Global Digital Research Ecosystem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Solving Common Problems with Current DDI Users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Mobilising NSO Use of DDI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Alliance Organisational Goals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Generational Renewal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Recruit the next generation of knowledgeable and skilled core technical development team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Expand skilled marketing team that is connected to relevant communities (archives, software producers, data producers, statistical agencies, individual researchers, other standards)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Renew active and engaged membership at the institutional level in the DDI community (strengthening the commitment)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Training: Enabling trainers to do what they need to 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Business Structure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Establish a periodic review of organizational structure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Develop a sustainable business model for the Alliance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Develop an organizational succession plan for the Alliance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Strategic Actions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kQNTfxkr59B6B9iW_RIJrss72Ar-b0ic2uLTMr4xOS0/edit" TargetMode="External"/><Relationship Id="rId6" Type="http://schemas.openxmlformats.org/officeDocument/2006/relationships/hyperlink" Target="https://docs.google.com/document/d/11p1na4PRLLrIoDCpCHj3vuEMmcBlQPtnBiNw4So2VC8/edit#heading=h.jcxx1p1d3xi1" TargetMode="External"/><Relationship Id="rId7" Type="http://schemas.openxmlformats.org/officeDocument/2006/relationships/hyperlink" Target="https://docs.google.com/document/d/1tE_86BsLF3l12IUKyaM6pRLTQOWCV-p3wSx9TSlEa-k/edit" TargetMode="External"/></Relationships>
</file>