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Repository Structure for Bitbucket.org/ddi-alliance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Monday 23 November 2015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MAIN LEVEL REPOSITORIES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Bitbucket.org/ddi-alliance/DDI-Lifecycle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Bitbucket.org/ddi-alliance/DDI-Codebook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Bitbucket.org/ddi-alliance/DDI</w:t>
      </w:r>
      <w:r w:rsidDel="00000000" w:rsidR="00000000" w:rsidRPr="00000000">
        <w:rPr>
          <w:rtl w:val="0"/>
        </w:rPr>
        <w:t xml:space="preserve">-Views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Bitbucket.org/ddi-alliance/RDFVocabularies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45.0" w:type="dxa"/>
        <w:jc w:val="left"/>
        <w:tblInd w:w="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045"/>
        <w:tblGridChange w:id="0">
          <w:tblGrid>
            <w:gridCol w:w="90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INTERNAL STRUCTURES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Bitbucket.org/ddi-alliance/DDI-Lifecycle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4f81bd"/>
                <w:rtl w:val="0"/>
              </w:rPr>
              <w:t xml:space="preserve">       Master branch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 3.0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 3.1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 3.2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color w:val="4f81bd"/>
                <w:rtl w:val="0"/>
              </w:rPr>
              <w:t xml:space="preserve">Development branch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Bitbucket.org/ddi-alliance/DDI-Codebook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color w:val="4f81bd"/>
                <w:rtl w:val="0"/>
              </w:rPr>
              <w:t xml:space="preserve">Master branch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1.2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2.0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2.1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2.5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color w:val="4f81bd"/>
                <w:rtl w:val="0"/>
              </w:rPr>
              <w:t xml:space="preserve">Development branch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Bitbucket.org/ddi-alliance/DDI-Views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color w:val="4f81bd"/>
                <w:rtl w:val="0"/>
              </w:rPr>
              <w:t xml:space="preserve">Master Branch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1.0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XSD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RDF/OWL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HMTL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PDF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color w:val="4f81bd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UML Model</w:t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XMI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Documentation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         text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         graphics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bookmarkStart w:colFirst="0" w:colLast="0" w:name="h.z2tyj9slv1of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Transformations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bookmarkStart w:colFirst="0" w:colLast="0" w:name="h.lsz8rod6tu18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  <w:t xml:space="preserve">Build Environment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bookmarkStart w:colFirst="0" w:colLast="0" w:name="h.omwj4dw2n5sx" w:id="2"/>
            <w:bookmarkEnd w:id="2"/>
            <w:r w:rsidDel="00000000" w:rsidR="00000000" w:rsidRPr="00000000">
              <w:rPr>
                <w:rtl w:val="0"/>
              </w:rPr>
              <w:t xml:space="preserve">                             Ant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bookmarkStart w:colFirst="0" w:colLast="0" w:name="h.gjdgxs" w:id="3"/>
            <w:bookmarkEnd w:id="3"/>
            <w:r w:rsidDel="00000000" w:rsidR="00000000" w:rsidRPr="00000000">
              <w:rPr>
                <w:rtl w:val="0"/>
              </w:rPr>
              <w:t xml:space="preserve">                             Utilities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XSD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XMI to XMI (PSM) [1]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Program</w:t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Configuration</w:t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XMI to XSD[4]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Program</w:t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Configuration</w:t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XSD to XSD Annotated [6]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Program</w:t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Configuration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RDF/OWL</w:t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XMI to XMI (PSM) [2]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Program</w:t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Configuration</w:t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XMI to OWL [5]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Program</w:t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Configuration</w:t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OWL to OWL Annotated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Program [7]</w:t>
            </w:r>
          </w:p>
          <w:p w:rsidR="00000000" w:rsidDel="00000000" w:rsidP="00000000" w:rsidRDefault="00000000" w:rsidRPr="00000000">
            <w:pPr>
              <w:ind w:left="288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rtl w:val="0"/>
              </w:rPr>
              <w:t xml:space="preserve">Configuration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Documentation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rsttoHTML [not numbered in diagram]</w:t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</w:pPr>
            <w:r w:rsidDel="00000000" w:rsidR="00000000" w:rsidRPr="00000000">
              <w:rPr>
                <w:color w:val="1f497d"/>
                <w:rtl w:val="0"/>
              </w:rPr>
              <w:t xml:space="preserve">rsttoPDF [not numbered in diagram]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Build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XSD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RDF/OWL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PDF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HTML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Bitbucket.org/ddi-alliance/RDFVocabularies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4f81bd"/>
                <w:rtl w:val="0"/>
              </w:rPr>
              <w:t xml:space="preserve">     Master Branch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    XKOS 0.x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    PDD 0.x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              DISCO 0.x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color w:val="4f81bd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h.fmc4dbkibrvp" w:id="4"/>
      <w:bookmarkEnd w:id="4"/>
      <w:r w:rsidDel="00000000" w:rsidR="00000000" w:rsidRPr="00000000">
        <w:drawing>
          <wp:inline distB="0" distT="0" distL="0" distR="0">
            <wp:extent cx="5349812" cy="2508337"/>
            <wp:effectExtent b="0" l="0" r="0" t="0"/>
            <wp:docPr descr="cid:image001.png@01D11ACD.45B65490" id="1" name="image01.png"/>
            <a:graphic>
              <a:graphicData uri="http://schemas.openxmlformats.org/drawingml/2006/picture">
                <pic:pic>
                  <pic:nvPicPr>
                    <pic:cNvPr descr="cid:image001.png@01D11ACD.45B65490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9812" cy="2508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1.2" w:top="1411.2" w:left="1137.6000000000001" w:right="1411.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