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D0" w:rsidRPr="008B6CD0" w:rsidRDefault="008B6CD0" w:rsidP="008B6CD0">
      <w:pPr>
        <w:pStyle w:val="NoSpacing"/>
        <w:rPr>
          <w:b/>
        </w:rPr>
      </w:pPr>
      <w:r w:rsidRPr="008B6CD0">
        <w:rPr>
          <w:b/>
        </w:rPr>
        <w:t>DDI-CVG Meeting</w:t>
      </w:r>
      <w:r w:rsidRPr="008B6CD0">
        <w:rPr>
          <w:b/>
        </w:rPr>
        <w:t xml:space="preserve"> Minutes, </w:t>
      </w:r>
      <w:r w:rsidRPr="008B6CD0">
        <w:rPr>
          <w:b/>
        </w:rPr>
        <w:t>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bookmarkStart w:id="0" w:name="_GoBack"/>
      <w:bookmarkEnd w:id="0"/>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w:t>
      </w:r>
      <w:r>
        <w:lastRenderedPageBreak/>
        <w:t xml:space="preserve">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lastRenderedPageBreak/>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lastRenderedPageBreak/>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lastRenderedPageBreak/>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8B6CD0" w:rsidP="005257D9">
      <w:hyperlink r:id="rId5" w:history="1">
        <w:r w:rsidR="005257D9" w:rsidRPr="00F22EE7">
          <w:rPr>
            <w:rStyle w:val="Hyperlink"/>
          </w:rPr>
          <w:t>aether@essex.ac.uk</w:t>
        </w:r>
      </w:hyperlink>
    </w:p>
    <w:p w:rsidR="005257D9" w:rsidRPr="00903C37" w:rsidRDefault="008B6CD0"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8B6CD0"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8B6CD0" w:rsidP="005257D9">
      <w:pPr>
        <w:rPr>
          <w:rStyle w:val="Hyperlink"/>
        </w:rPr>
      </w:pPr>
      <w:hyperlink r:id="rId10" w:history="1">
        <w:r w:rsidR="005257D9" w:rsidRPr="00F22EE7">
          <w:rPr>
            <w:rStyle w:val="Hyperlink"/>
          </w:rPr>
          <w:t>sandai@umich.edu</w:t>
        </w:r>
      </w:hyperlink>
    </w:p>
    <w:p w:rsidR="005257D9" w:rsidRDefault="008B6CD0" w:rsidP="005257D9">
      <w:pPr>
        <w:rPr>
          <w:rStyle w:val="Hyperlink"/>
        </w:rPr>
      </w:pPr>
      <w:hyperlink r:id="rId11" w:history="1">
        <w:r w:rsidR="005257D9" w:rsidRPr="00F22EE7">
          <w:rPr>
            <w:rStyle w:val="Hyperlink"/>
          </w:rPr>
          <w:t>Alexander.Jedinger@gesis.org</w:t>
        </w:r>
      </w:hyperlink>
    </w:p>
    <w:p w:rsidR="005257D9" w:rsidRDefault="008B6CD0" w:rsidP="005257D9">
      <w:pPr>
        <w:rPr>
          <w:rStyle w:val="Hyperlink"/>
        </w:rPr>
      </w:pPr>
      <w:hyperlink r:id="rId12" w:history="1">
        <w:r w:rsidR="005257D9" w:rsidRPr="00F22EE7">
          <w:rPr>
            <w:rStyle w:val="Hyperlink"/>
          </w:rPr>
          <w:t>bs@sa.dk</w:t>
        </w:r>
      </w:hyperlink>
    </w:p>
    <w:p w:rsidR="005257D9" w:rsidRDefault="008B6CD0" w:rsidP="005257D9">
      <w:pPr>
        <w:rPr>
          <w:rStyle w:val="Hyperlink"/>
        </w:rPr>
      </w:pPr>
      <w:hyperlink r:id="rId13" w:history="1">
        <w:r w:rsidR="005257D9" w:rsidRPr="00F22EE7">
          <w:rPr>
            <w:rStyle w:val="Hyperlink"/>
          </w:rPr>
          <w:t>sebastian.kocar@anu.edu.au</w:t>
        </w:r>
      </w:hyperlink>
    </w:p>
    <w:p w:rsidR="005257D9" w:rsidRDefault="008B6CD0"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lastRenderedPageBreak/>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lastRenderedPageBreak/>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lastRenderedPageBreak/>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 xml:space="preserve">The term “instructions” is probably not the best because it may be confused with the “interviewer instructions” that are part of questionnaires. For instructions on conducting a </w:t>
      </w:r>
      <w:r>
        <w:lastRenderedPageBreak/>
        <w:t>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 xml:space="preserve">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w:t>
      </w:r>
      <w:r>
        <w:lastRenderedPageBreak/>
        <w:t>“geospatial”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lastRenderedPageBreak/>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 xml:space="preserve">Instrument: Since creating a list for Instrument is also on our to-do list, Taina agrees to send FSD’s CV to our group for evaluation. We can either edit it and publish it as our own, or publish it as FSD’s, on our site, if both sides agree to a unique format. The latter would </w:t>
      </w:r>
      <w:r>
        <w:lastRenderedPageBreak/>
        <w:t>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lastRenderedPageBreak/>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lastRenderedPageBreak/>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lastRenderedPageBreak/>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lastRenderedPageBreak/>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lastRenderedPageBreak/>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lastRenderedPageBreak/>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lastRenderedPageBreak/>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 xml:space="preserve">Definitions for the terms do not seem satisfactory at this point because they have to be phrased in such a way that they can be applied to all three aspects of using a language – read, write, and speak </w:t>
      </w:r>
      <w:r>
        <w:lastRenderedPageBreak/>
        <w:t>(comprehension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 xml:space="preserve">We find these may be too detailed/specialized for our purpose. In DDI the intention is rather to give a general idea of a person’s mastery of language skills, not to assess them thoroughly. Therefore, we end up </w:t>
      </w:r>
      <w:r>
        <w:lastRenderedPageBreak/>
        <w:t>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lastRenderedPageBreak/>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lastRenderedPageBreak/>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lastRenderedPageBreak/>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t>
      </w:r>
      <w:r>
        <w:lastRenderedPageBreak/>
        <w:t>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lastRenderedPageBreak/>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 xml:space="preserve">It is agreed that such changes in the spreadsheet content (but not the CV) should not affect the CV version. It is suggested, and approved, that we should instead </w:t>
      </w:r>
      <w:r>
        <w:rPr>
          <w:sz w:val="28"/>
          <w:szCs w:val="28"/>
        </w:rPr>
        <w:lastRenderedPageBreak/>
        <w:t>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(data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lastRenderedPageBreak/>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lastRenderedPageBreak/>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lastRenderedPageBreak/>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lastRenderedPageBreak/>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Sanda’s example of a harmonized variable). We will *not* specify this in the definition but will try to give at least one </w:t>
      </w:r>
      <w:r>
        <w:lastRenderedPageBreak/>
        <w:t>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lastRenderedPageBreak/>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lastRenderedPageBreak/>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lastRenderedPageBreak/>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observation:field, Observation:field: participant, and observation:field:participant:overt/covert.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w:t>
      </w:r>
      <w:r>
        <w:lastRenderedPageBreak/>
        <w:t xml:space="preserve">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lastRenderedPageBreak/>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lastRenderedPageBreak/>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lastRenderedPageBreak/>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 xml:space="preserve">Coding – we lack good/convincing examples. Discussion follows – is coding really a data collection method or is it data analysis? Sometimes it is hard to draw a clear line, especially when qualitative data/methods </w:t>
      </w:r>
      <w:r>
        <w:lastRenderedPageBreak/>
        <w:t>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lastRenderedPageBreak/>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lastRenderedPageBreak/>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lastRenderedPageBreak/>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lastRenderedPageBreak/>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lastRenderedPageBreak/>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lastRenderedPageBreak/>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lastRenderedPageBreak/>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lastRenderedPageBreak/>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t>
      </w:r>
      <w:r>
        <w:lastRenderedPageBreak/>
        <w:t>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w:t>
      </w:r>
      <w:r>
        <w:lastRenderedPageBreak/>
        <w:t xml:space="preserve">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lastRenderedPageBreak/>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lastRenderedPageBreak/>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lastRenderedPageBreak/>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8B6CD0"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ng some 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8B6CD0"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8B6CD0"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lastRenderedPageBreak/>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w:t>
      </w:r>
      <w:r w:rsidRPr="002B0C73">
        <w:rPr>
          <w:i/>
        </w:rPr>
        <w:lastRenderedPageBreak/>
        <w:t xml:space="preserve">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lastRenderedPageBreak/>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w:t>
      </w:r>
      <w:r>
        <w:lastRenderedPageBreak/>
        <w:t>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lastRenderedPageBreak/>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lastRenderedPageBreak/>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lastRenderedPageBreak/>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lastRenderedPageBreak/>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lastRenderedPageBreak/>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lastRenderedPageBreak/>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lastRenderedPageBreak/>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w:t>
      </w:r>
      <w:r>
        <w:lastRenderedPageBreak/>
        <w:t xml:space="preserve">"other",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lastRenderedPageBreak/>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lastRenderedPageBreak/>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lastRenderedPageBreak/>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w:t>
      </w:r>
      <w:r w:rsidRPr="00D94D1C">
        <w:rPr>
          <w:color w:val="0000FF"/>
        </w:rPr>
        <w:lastRenderedPageBreak/>
        <w:t xml:space="preserve">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lastRenderedPageBreak/>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lastRenderedPageBreak/>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8B6CD0"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8B6CD0"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8B6CD0"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8B6CD0"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lastRenderedPageBreak/>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lastRenderedPageBreak/>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lastRenderedPageBreak/>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16"/>
  </w:num>
  <w:num w:numId="5">
    <w:abstractNumId w:val="0"/>
  </w:num>
  <w:num w:numId="6">
    <w:abstractNumId w:val="5"/>
  </w:num>
  <w:num w:numId="7">
    <w:abstractNumId w:val="17"/>
  </w:num>
  <w:num w:numId="8">
    <w:abstractNumId w:val="13"/>
  </w:num>
  <w:num w:numId="9">
    <w:abstractNumId w:val="7"/>
  </w:num>
  <w:num w:numId="10">
    <w:abstractNumId w:val="1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0"/>
  </w:num>
  <w:num w:numId="18">
    <w:abstractNumId w:val="14"/>
  </w:num>
  <w:num w:numId="19">
    <w:abstractNumId w:val="11"/>
  </w:num>
  <w:num w:numId="20">
    <w:abstractNumId w:val="18"/>
  </w:num>
  <w:num w:numId="21">
    <w:abstractNumId w:val="4"/>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431A0C"/>
    <w:rsid w:val="00490D21"/>
    <w:rsid w:val="004E0544"/>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AA7018"/>
    <w:rsid w:val="00AC55A9"/>
    <w:rsid w:val="00B25B7C"/>
    <w:rsid w:val="00B67326"/>
    <w:rsid w:val="00BF05B3"/>
    <w:rsid w:val="00BF7BF8"/>
    <w:rsid w:val="00C221BA"/>
    <w:rsid w:val="00C534C0"/>
    <w:rsid w:val="00C56E78"/>
    <w:rsid w:val="00CB4C1A"/>
    <w:rsid w:val="00CC46BF"/>
    <w:rsid w:val="00D96563"/>
    <w:rsid w:val="00DC0720"/>
    <w:rsid w:val="00DC2523"/>
    <w:rsid w:val="00E06B24"/>
    <w:rsid w:val="00E37B4D"/>
    <w:rsid w:val="00E4367E"/>
    <w:rsid w:val="00E977CC"/>
    <w:rsid w:val="00EC19C6"/>
    <w:rsid w:val="00EF60AB"/>
    <w:rsid w:val="00FD0731"/>
    <w:rsid w:val="00FD63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13A5F386.dotm</Template>
  <TotalTime>433</TotalTime>
  <Pages>95</Pages>
  <Words>30414</Words>
  <Characters>246356</Characters>
  <Application>Microsoft Office Word</Application>
  <DocSecurity>0</DocSecurity>
  <Lines>2052</Lines>
  <Paragraphs>552</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276218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54</cp:revision>
  <dcterms:created xsi:type="dcterms:W3CDTF">2014-12-05T07:39:00Z</dcterms:created>
  <dcterms:modified xsi:type="dcterms:W3CDTF">2016-10-31T10:31:00Z</dcterms:modified>
</cp:coreProperties>
</file>