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F89EB" w14:textId="55CDB463" w:rsidR="001D6F23" w:rsidRDefault="00412B87" w:rsidP="00DD7115">
      <w:pPr>
        <w:pStyle w:val="Title"/>
        <w:spacing w:after="120"/>
      </w:pPr>
      <w:r>
        <w:t xml:space="preserve">Introduction to </w:t>
      </w:r>
      <w:r w:rsidR="00591D00">
        <w:t xml:space="preserve">the </w:t>
      </w:r>
      <w:r>
        <w:t>DDI4 Logical Data Description</w:t>
      </w:r>
      <w:r w:rsidR="00591D00">
        <w:t xml:space="preserve"> Package</w:t>
      </w:r>
    </w:p>
    <w:p w14:paraId="67D44FB9" w14:textId="66BB7437" w:rsidR="00B07C21" w:rsidRDefault="005771F5" w:rsidP="005771F5">
      <w:pPr>
        <w:pStyle w:val="Heading1"/>
      </w:pPr>
      <w:r>
        <w:t>Introduction</w:t>
      </w:r>
    </w:p>
    <w:p w14:paraId="3870610E" w14:textId="77777777" w:rsidR="00A77550" w:rsidRDefault="00A77550" w:rsidP="00A77550">
      <w:r>
        <w:t>In our lifetimes we have traversed three great waves of data representation: relational, data warehouse (dimensional) and elemental (RDF and NoSQL). Along the way the future has seemingly turned the past upside down. I refer to the rise of pipelines in which relational and data warehouse data representations have become so many endpoints in a flow that commences with elemental data.</w:t>
      </w:r>
    </w:p>
    <w:p w14:paraId="4A48225D" w14:textId="77777777" w:rsidR="00A77550" w:rsidRDefault="00A77550" w:rsidP="00A77550"/>
    <w:p w14:paraId="4C5B202D" w14:textId="5B3A5E72" w:rsidR="00A77550" w:rsidRDefault="00A77550" w:rsidP="00A77550">
      <w:r>
        <w:t>Quoting Alice, there is little doubt that the future of data representation and data stores i</w:t>
      </w:r>
      <w:r w:rsidR="0046234F">
        <w:t>s becoming</w:t>
      </w:r>
      <w:r>
        <w:t xml:space="preserve"> curiouser and curiouser.</w:t>
      </w:r>
    </w:p>
    <w:p w14:paraId="5EEE48BF" w14:textId="77777777" w:rsidR="00A77550" w:rsidRDefault="00A77550" w:rsidP="00A77550"/>
    <w:p w14:paraId="0DFAB9ED" w14:textId="76699E86" w:rsidR="005771F5" w:rsidRDefault="00A77550" w:rsidP="00A77550">
      <w:r>
        <w:t xml:space="preserve">In the mist of these developments DDI4 offers a logical data description model that can turn relational and/or dimensional and/or elemental in a </w:t>
      </w:r>
      <w:hyperlink r:id="rId7" w:history="1">
        <w:r w:rsidRPr="00F675C5">
          <w:rPr>
            <w:rStyle w:val="Hyperlink"/>
          </w:rPr>
          <w:t>New York Minute</w:t>
        </w:r>
      </w:hyperlink>
      <w:r>
        <w:t xml:space="preserve"> (we think). To be honest, so far we have not proven this. Indeed, after two years, the logical data description model remains a work in progress. That being said, we have no shame, and we want to take you on a tour.</w:t>
      </w:r>
    </w:p>
    <w:p w14:paraId="4DB4162D" w14:textId="77777777" w:rsidR="00C505A1" w:rsidRDefault="00C505A1" w:rsidP="00A77550"/>
    <w:p w14:paraId="10C39B96" w14:textId="3B3477CC" w:rsidR="00C505A1" w:rsidRDefault="00C505A1" w:rsidP="00C505A1">
      <w:pPr>
        <w:pStyle w:val="Heading1"/>
      </w:pPr>
      <w:r>
        <w:t>Our Tour</w:t>
      </w:r>
    </w:p>
    <w:p w14:paraId="66E4B0B0" w14:textId="3D905843" w:rsidR="00C505A1" w:rsidRDefault="00C505A1" w:rsidP="00C505A1">
      <w:r>
        <w:t>Our tour consists of a number of traversals</w:t>
      </w:r>
      <w:r w:rsidR="00722130">
        <w:t xml:space="preserve"> of the LogicalDataDescription </w:t>
      </w:r>
      <w:r w:rsidR="00722130" w:rsidRPr="00BC6FBE">
        <w:rPr>
          <w:i/>
        </w:rPr>
        <w:t>package</w:t>
      </w:r>
      <w:r w:rsidR="00BC6802">
        <w:t xml:space="preserve">. </w:t>
      </w:r>
      <w:r w:rsidR="00BC6FBE">
        <w:t xml:space="preserve">Note that a </w:t>
      </w:r>
      <w:r w:rsidR="00BC6FBE">
        <w:rPr>
          <w:rFonts w:ascii="Helvetica" w:hAnsi="Helvetica" w:cs="Helvetica"/>
          <w:color w:val="1C1C1C"/>
          <w:sz w:val="28"/>
          <w:szCs w:val="28"/>
        </w:rPr>
        <w:t xml:space="preserve"> </w:t>
      </w:r>
      <w:r w:rsidR="00BC6FBE" w:rsidRPr="00BC6FBE">
        <w:rPr>
          <w:rFonts w:cs="Helvetica"/>
          <w:bCs/>
          <w:i/>
          <w:color w:val="1C1C1C"/>
        </w:rPr>
        <w:t>package</w:t>
      </w:r>
      <w:r w:rsidR="00BC6FBE" w:rsidRPr="00BC6FBE">
        <w:rPr>
          <w:rFonts w:cs="Helvetica"/>
          <w:color w:val="1C1C1C"/>
        </w:rPr>
        <w:t xml:space="preserve"> in the </w:t>
      </w:r>
      <w:hyperlink r:id="rId8" w:history="1">
        <w:r w:rsidR="00BC6FBE" w:rsidRPr="00BC6FBE">
          <w:rPr>
            <w:rFonts w:cs="Helvetica"/>
            <w:color w:val="092F9D"/>
          </w:rPr>
          <w:t>Unified Modeling Language</w:t>
        </w:r>
      </w:hyperlink>
      <w:r w:rsidR="00BC6FBE" w:rsidRPr="00BC6FBE">
        <w:rPr>
          <w:rFonts w:cs="Helvetica"/>
          <w:color w:val="1C1C1C"/>
        </w:rPr>
        <w:t xml:space="preserve"> is used "to group elements, and to provide a namespace for the grouped elements"</w:t>
      </w:r>
      <w:r w:rsidR="00BC6FBE">
        <w:rPr>
          <w:rStyle w:val="FootnoteReference"/>
          <w:rFonts w:cs="Helvetica"/>
          <w:color w:val="1C1C1C"/>
        </w:rPr>
        <w:footnoteReference w:id="1"/>
      </w:r>
      <w:r w:rsidR="00BC6FBE">
        <w:t xml:space="preserve"> </w:t>
      </w:r>
      <w:r w:rsidR="00CF3878">
        <w:t>Also, note that a</w:t>
      </w:r>
      <w:r w:rsidR="00CE22DE">
        <w:t xml:space="preserve"> traversal of a package corresponds to a view.</w:t>
      </w:r>
      <w:r w:rsidR="000B7547">
        <w:t xml:space="preserve"> </w:t>
      </w:r>
      <w:r w:rsidR="000224EE">
        <w:t>The</w:t>
      </w:r>
      <w:r w:rsidR="000B7547">
        <w:t xml:space="preserve"> view / traversal circumscribes a specific function that the package can perform</w:t>
      </w:r>
      <w:r w:rsidR="0010469F">
        <w:rPr>
          <w:rStyle w:val="FootnoteReference"/>
        </w:rPr>
        <w:footnoteReference w:id="2"/>
      </w:r>
      <w:r w:rsidR="000B7547">
        <w:t xml:space="preserve">. </w:t>
      </w:r>
    </w:p>
    <w:p w14:paraId="0DDA36B4" w14:textId="77777777" w:rsidR="00A92444" w:rsidRDefault="00A92444" w:rsidP="00C505A1"/>
    <w:p w14:paraId="07714600" w14:textId="65E99E8B" w:rsidR="00A92444" w:rsidRDefault="007A34DA" w:rsidP="00C505A1">
      <w:r>
        <w:t>We start with the B</w:t>
      </w:r>
      <w:r w:rsidR="00CE33B2">
        <w:t>ig Picture</w:t>
      </w:r>
      <w:r w:rsidR="008C5862">
        <w:t xml:space="preserve"> (package)</w:t>
      </w:r>
      <w:r w:rsidR="00CE33B2">
        <w:t>.</w:t>
      </w:r>
      <w:r>
        <w:t xml:space="preserve"> We will decompose this picture through a series of traversals that begins with the relational store and progresses through a series of knowledge stores that are more or less elemental. </w:t>
      </w:r>
    </w:p>
    <w:p w14:paraId="59845A14" w14:textId="7443C30B" w:rsidR="007A34DA" w:rsidRDefault="00CE33B2" w:rsidP="00C505A1">
      <w:r>
        <w:t xml:space="preserve"> </w:t>
      </w:r>
    </w:p>
    <w:p w14:paraId="68ADF2AD" w14:textId="42483783" w:rsidR="00CE33B2" w:rsidRDefault="00E36580" w:rsidP="00C505A1">
      <w:r>
        <w:t>Our story begins lik</w:t>
      </w:r>
      <w:r w:rsidR="00CE33B2">
        <w:t>e many Big Pictures do with a creation myth. Call this creation myth the big bang of data representation.</w:t>
      </w:r>
    </w:p>
    <w:p w14:paraId="7BE2E5AD" w14:textId="77777777" w:rsidR="00CE33B2" w:rsidRDefault="00CE33B2" w:rsidP="00C505A1"/>
    <w:p w14:paraId="0FF1C101" w14:textId="71C29509" w:rsidR="00C505A1" w:rsidRDefault="00CE33B2" w:rsidP="00A77550">
      <w:r>
        <w:t>First, however, see our big picture.</w:t>
      </w:r>
    </w:p>
    <w:p w14:paraId="33B5CA81" w14:textId="77777777" w:rsidR="00CE33B2" w:rsidRDefault="00CE33B2" w:rsidP="00A77550"/>
    <w:p w14:paraId="5044F9B3" w14:textId="51AA25D2" w:rsidR="00CE33B2" w:rsidRDefault="00CE33B2" w:rsidP="00D90364">
      <w:pPr>
        <w:pStyle w:val="Heading1"/>
        <w:spacing w:after="60"/>
      </w:pPr>
      <w:r>
        <w:lastRenderedPageBreak/>
        <w:t>The Big Picture</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36"/>
      </w:tblGrid>
      <w:tr w:rsidR="005771F5" w14:paraId="144415A1" w14:textId="77777777" w:rsidTr="005771F5">
        <w:tc>
          <w:tcPr>
            <w:tcW w:w="9715" w:type="dxa"/>
            <w:shd w:val="pct5" w:color="auto" w:fill="auto"/>
          </w:tcPr>
          <w:p w14:paraId="1384627F" w14:textId="77777777" w:rsidR="000224EE" w:rsidRDefault="005771F5" w:rsidP="000224EE">
            <w:pPr>
              <w:keepNext/>
            </w:pPr>
            <w:r>
              <w:rPr>
                <w:noProof/>
              </w:rPr>
              <w:drawing>
                <wp:inline distT="0" distB="0" distL="0" distR="0" wp14:anchorId="71F0F474" wp14:editId="1B910583">
                  <wp:extent cx="6041602" cy="64837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 Metamodel - Page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9822" cy="6492571"/>
                          </a:xfrm>
                          <a:prstGeom prst="rect">
                            <a:avLst/>
                          </a:prstGeom>
                        </pic:spPr>
                      </pic:pic>
                    </a:graphicData>
                  </a:graphic>
                </wp:inline>
              </w:drawing>
            </w:r>
          </w:p>
          <w:p w14:paraId="2FFCE759" w14:textId="389C8C22" w:rsidR="005771F5" w:rsidRDefault="000224EE" w:rsidP="000224EE">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1</w:t>
            </w:r>
            <w:r w:rsidR="00F35C85">
              <w:rPr>
                <w:noProof/>
              </w:rPr>
              <w:fldChar w:fldCharType="end"/>
            </w:r>
            <w:r>
              <w:t>: The LogicalDataDescription Package</w:t>
            </w:r>
          </w:p>
        </w:tc>
      </w:tr>
    </w:tbl>
    <w:p w14:paraId="406647E2" w14:textId="77777777" w:rsidR="005771F5" w:rsidRDefault="005771F5" w:rsidP="005771F5"/>
    <w:p w14:paraId="447EA1EC" w14:textId="6561BB36" w:rsidR="00784FBA" w:rsidRDefault="00591A1F" w:rsidP="005771F5">
      <w:r>
        <w:t xml:space="preserve">Mostly </w:t>
      </w:r>
      <w:r w:rsidR="00301A79">
        <w:t>the traversals we are contemplating make flows within this Big Picture. We will, however, as needed</w:t>
      </w:r>
      <w:r w:rsidR="00B320A4">
        <w:t>,</w:t>
      </w:r>
      <w:r w:rsidR="00301A79">
        <w:t xml:space="preserve"> referenc</w:t>
      </w:r>
      <w:r w:rsidR="00B320A4">
        <w:t>e another DDI4 package</w:t>
      </w:r>
      <w:r w:rsidR="00301A79">
        <w:t xml:space="preserve">. This is </w:t>
      </w:r>
      <w:hyperlink r:id="rId10" w:history="1">
        <w:r w:rsidR="00301A79" w:rsidRPr="00301A79">
          <w:rPr>
            <w:rStyle w:val="Hyperlink"/>
          </w:rPr>
          <w:t>FormatDescription</w:t>
        </w:r>
      </w:hyperlink>
      <w:r w:rsidR="00301A79">
        <w:t xml:space="preserve">. Corresponding to a number of the elements here, FormatDescription encapsulates their physical counterparts. For example, corresponding to each LogicalRecordLayout, there is a PhysicalLayout. FormatDescription is </w:t>
      </w:r>
      <w:hyperlink r:id="rId11" w:history="1">
        <w:r w:rsidR="00301A79" w:rsidRPr="00B320A4">
          <w:rPr>
            <w:rStyle w:val="Hyperlink"/>
          </w:rPr>
          <w:t>where the rubber hits the road</w:t>
        </w:r>
      </w:hyperlink>
      <w:r w:rsidR="00301A79">
        <w:t>. Using FormatDescription, a software agent can, for example, produce actual .csv files or</w:t>
      </w:r>
      <w:r w:rsidR="009A5293">
        <w:t>,</w:t>
      </w:r>
      <w:r w:rsidR="00ED090E">
        <w:t xml:space="preserve"> perhaps in the future</w:t>
      </w:r>
      <w:r w:rsidR="009A5293">
        <w:t>,</w:t>
      </w:r>
      <w:r w:rsidR="00257FF9">
        <w:t xml:space="preserve"> a JSON instance or an RDF graph.</w:t>
      </w:r>
    </w:p>
    <w:p w14:paraId="50DC802A" w14:textId="18C5F4EA" w:rsidR="00CE33B2" w:rsidRDefault="00CE33B2" w:rsidP="00D90364">
      <w:pPr>
        <w:pStyle w:val="Heading1"/>
        <w:spacing w:after="60"/>
      </w:pPr>
      <w:r>
        <w:t>The Big Bang</w:t>
      </w:r>
      <w:r w:rsidR="00240B45">
        <w:t xml:space="preserve"> of Data Representation</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15"/>
      </w:tblGrid>
      <w:tr w:rsidR="00461FA4" w14:paraId="11BEC815" w14:textId="77777777" w:rsidTr="00461FA4">
        <w:tc>
          <w:tcPr>
            <w:tcW w:w="9715" w:type="dxa"/>
            <w:shd w:val="pct5" w:color="auto" w:fill="auto"/>
          </w:tcPr>
          <w:p w14:paraId="6977BB21" w14:textId="77777777" w:rsidR="001F39C3" w:rsidRDefault="00E36580" w:rsidP="001F39C3">
            <w:pPr>
              <w:keepNext/>
              <w:jc w:val="center"/>
            </w:pPr>
            <w:r>
              <w:rPr>
                <w:noProof/>
              </w:rPr>
              <w:drawing>
                <wp:inline distT="0" distB="0" distL="0" distR="0" wp14:anchorId="1044BA31" wp14:editId="6AB28DDE">
                  <wp:extent cx="5458319" cy="5823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 Metamodel - Pag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5353" cy="5830877"/>
                          </a:xfrm>
                          <a:prstGeom prst="rect">
                            <a:avLst/>
                          </a:prstGeom>
                        </pic:spPr>
                      </pic:pic>
                    </a:graphicData>
                  </a:graphic>
                </wp:inline>
              </w:drawing>
            </w:r>
          </w:p>
          <w:p w14:paraId="670DA6A4" w14:textId="7E8F80A6" w:rsidR="00461FA4" w:rsidRDefault="001F39C3" w:rsidP="001F39C3">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2</w:t>
            </w:r>
            <w:r w:rsidR="00F35C85">
              <w:rPr>
                <w:noProof/>
              </w:rPr>
              <w:fldChar w:fldCharType="end"/>
            </w:r>
            <w:r>
              <w:t>: From Observation to Information</w:t>
            </w:r>
          </w:p>
        </w:tc>
      </w:tr>
    </w:tbl>
    <w:p w14:paraId="362DBBE0" w14:textId="77777777" w:rsidR="00CE33B2" w:rsidRPr="00CE33B2" w:rsidRDefault="00CE33B2" w:rsidP="00CE33B2"/>
    <w:p w14:paraId="783493AB" w14:textId="58A881B2" w:rsidR="004A2994" w:rsidRDefault="00840BD7" w:rsidP="005771F5">
      <w:r>
        <w:t>In the beginning there was the Observation.</w:t>
      </w:r>
      <w:r w:rsidR="0002390A">
        <w:t xml:space="preserve"> </w:t>
      </w:r>
      <w:r w:rsidR="00210D97">
        <w:t>Sort of…</w:t>
      </w:r>
    </w:p>
    <w:p w14:paraId="0FB60F40" w14:textId="77777777" w:rsidR="004A2994" w:rsidRDefault="004A2994" w:rsidP="005771F5"/>
    <w:p w14:paraId="012C319B" w14:textId="580469A5" w:rsidR="00CE33B2" w:rsidRDefault="0002390A" w:rsidP="005771F5">
      <w:r>
        <w:t xml:space="preserve">The </w:t>
      </w:r>
      <w:r w:rsidR="00C96C91">
        <w:t>Observation is performed by an Actor on a Unit and yields one or more Datum. Datum might include not just one or more me</w:t>
      </w:r>
      <w:r w:rsidR="00210D97">
        <w:t>asures but the location of the Observation in space/time</w:t>
      </w:r>
      <w:r w:rsidR="00C96C91">
        <w:t>, the identity and state of the Actor and so forth.</w:t>
      </w:r>
      <w:r w:rsidR="004A2994">
        <w:t xml:space="preserve"> The one or more Datum are collected in DataPoints, one for each Datum. </w:t>
      </w:r>
      <w:r w:rsidR="00210D97">
        <w:t>Empty or not, each</w:t>
      </w:r>
      <w:r w:rsidR="004A2994">
        <w:t xml:space="preserve"> DataPoint is described by an InstanceVariable which is ultimately related to a Concept</w:t>
      </w:r>
      <w:r w:rsidR="005F7EF1">
        <w:t>. Finally, a collection of DataPoints form</w:t>
      </w:r>
      <w:r w:rsidR="004A2994">
        <w:t xml:space="preserve"> a DataRecord.</w:t>
      </w:r>
    </w:p>
    <w:p w14:paraId="58C317AA" w14:textId="77777777" w:rsidR="005F7EF1" w:rsidRDefault="005F7EF1" w:rsidP="005771F5"/>
    <w:p w14:paraId="737263A4" w14:textId="16596D72" w:rsidR="005F7EF1" w:rsidRDefault="005F7EF1" w:rsidP="005771F5">
      <w:r>
        <w:t xml:space="preserve">The magic here is the </w:t>
      </w:r>
      <w:r w:rsidR="00210D97">
        <w:t>Datum. An Observation occurs</w:t>
      </w:r>
      <w:r>
        <w:t xml:space="preserve"> in space/time. A DataPoint is an information object. The Datum, like a recording, passes in between.</w:t>
      </w:r>
    </w:p>
    <w:p w14:paraId="4F6FAD79" w14:textId="35D6598F" w:rsidR="005F7EF1" w:rsidRDefault="00A570B7" w:rsidP="0019551B">
      <w:pPr>
        <w:pStyle w:val="Heading1"/>
        <w:spacing w:after="40"/>
      </w:pPr>
      <w:r>
        <w:t>The Relational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E01421" w14:paraId="673091C1" w14:textId="77777777" w:rsidTr="0019551B">
        <w:tc>
          <w:tcPr>
            <w:tcW w:w="9350" w:type="dxa"/>
            <w:shd w:val="pct5" w:color="auto" w:fill="auto"/>
          </w:tcPr>
          <w:p w14:paraId="193B68FE" w14:textId="77777777" w:rsidR="001F39C3" w:rsidRDefault="0019551B" w:rsidP="001F39C3">
            <w:pPr>
              <w:keepNext/>
            </w:pPr>
            <w:r>
              <w:rPr>
                <w:noProof/>
              </w:rPr>
              <w:drawing>
                <wp:inline distT="0" distB="0" distL="0" distR="0" wp14:anchorId="7E4F77CD" wp14:editId="0D580FEA">
                  <wp:extent cx="5943600" cy="5605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a Metamodel - Relatio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p w14:paraId="20EAB50E" w14:textId="36AA3E55" w:rsidR="00E01421" w:rsidRDefault="001F39C3" w:rsidP="001F39C3">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3</w:t>
            </w:r>
            <w:r w:rsidR="00F35C85">
              <w:rPr>
                <w:noProof/>
              </w:rPr>
              <w:fldChar w:fldCharType="end"/>
            </w:r>
            <w:r>
              <w:t>: Proposed Relational View</w:t>
            </w:r>
          </w:p>
        </w:tc>
      </w:tr>
    </w:tbl>
    <w:p w14:paraId="79EB8093" w14:textId="77777777" w:rsidR="00CB2B47" w:rsidRDefault="00CB2B47" w:rsidP="005771F5"/>
    <w:p w14:paraId="6006D0F0" w14:textId="36FBA8EA" w:rsidR="000B41E2" w:rsidRDefault="00901D2E" w:rsidP="005771F5">
      <w:pPr>
        <w:rPr>
          <w:sz w:val="26"/>
          <w:szCs w:val="22"/>
        </w:rPr>
      </w:pPr>
      <w:r>
        <w:t>Strangely</w:t>
      </w:r>
      <w:r w:rsidR="000B41E2">
        <w:t>,</w:t>
      </w:r>
      <w:r>
        <w:t xml:space="preserve"> tables </w:t>
      </w:r>
      <w:r w:rsidR="000B41E2">
        <w:t>and</w:t>
      </w:r>
      <w:r>
        <w:t xml:space="preserve"> table groups are not specifically represented</w:t>
      </w:r>
      <w:r w:rsidR="000B41E2">
        <w:t xml:space="preserve"> here</w:t>
      </w:r>
      <w:r>
        <w:t xml:space="preserve"> in line </w:t>
      </w:r>
      <w:r w:rsidR="000B41E2">
        <w:rPr>
          <w:sz w:val="26"/>
          <w:szCs w:val="22"/>
        </w:rPr>
        <w:t xml:space="preserve">the </w:t>
      </w:r>
      <w:hyperlink r:id="rId14" w:anchor="schemas" w:history="1">
        <w:r w:rsidR="000B41E2" w:rsidRPr="000B41E2">
          <w:rPr>
            <w:rStyle w:val="Hyperlink"/>
            <w:sz w:val="26"/>
            <w:szCs w:val="22"/>
          </w:rPr>
          <w:t>W3C Model for Tabular Data and Metadata</w:t>
        </w:r>
      </w:hyperlink>
      <w:r w:rsidR="000B41E2">
        <w:rPr>
          <w:sz w:val="26"/>
          <w:szCs w:val="22"/>
        </w:rPr>
        <w:t xml:space="preserve"> on the Web. Instead both the DataRecord and DataStore “realize” collections. </w:t>
      </w:r>
      <w:r w:rsidR="00207415">
        <w:rPr>
          <w:sz w:val="26"/>
          <w:szCs w:val="22"/>
        </w:rPr>
        <w:t>Now c</w:t>
      </w:r>
      <w:r w:rsidR="000B41E2">
        <w:rPr>
          <w:sz w:val="26"/>
          <w:szCs w:val="22"/>
        </w:rPr>
        <w:t xml:space="preserve">onsider that: </w:t>
      </w:r>
    </w:p>
    <w:p w14:paraId="71A5FAEF" w14:textId="7387D371"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DataRecord has a s</w:t>
      </w:r>
      <w:r w:rsidR="000B41E2">
        <w:rPr>
          <w:sz w:val="26"/>
          <w:szCs w:val="22"/>
        </w:rPr>
        <w:t>chema (LogicalRecordLayout)</w:t>
      </w:r>
    </w:p>
    <w:p w14:paraId="01B0E38A" w14:textId="50FE6039"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LogicalRecordLayout is a collection of InstanceVariables</w:t>
      </w:r>
    </w:p>
    <w:p w14:paraId="6F8BF564" w14:textId="5BCC7869" w:rsidR="00207415" w:rsidRPr="00207415" w:rsidRDefault="00775B2B" w:rsidP="00207415">
      <w:pPr>
        <w:pStyle w:val="ListParagraph"/>
        <w:numPr>
          <w:ilvl w:val="0"/>
          <w:numId w:val="17"/>
        </w:numPr>
        <w:spacing w:before="60"/>
      </w:pPr>
      <w:r>
        <w:rPr>
          <w:sz w:val="26"/>
          <w:szCs w:val="22"/>
        </w:rPr>
        <w:t>T</w:t>
      </w:r>
      <w:r w:rsidR="00207415">
        <w:rPr>
          <w:sz w:val="26"/>
          <w:szCs w:val="22"/>
        </w:rPr>
        <w:t>he RecordRelation may specify variable relationships within a LogicalRecordLayout (</w:t>
      </w:r>
      <w:r>
        <w:rPr>
          <w:sz w:val="26"/>
          <w:szCs w:val="22"/>
        </w:rPr>
        <w:t>imagine variable hierarchies</w:t>
      </w:r>
      <w:r w:rsidR="00207415">
        <w:rPr>
          <w:sz w:val="26"/>
          <w:szCs w:val="22"/>
        </w:rPr>
        <w:t>) or between LogicalRecordLayouts (</w:t>
      </w:r>
      <w:r>
        <w:rPr>
          <w:sz w:val="26"/>
          <w:szCs w:val="22"/>
        </w:rPr>
        <w:t xml:space="preserve">imagine </w:t>
      </w:r>
      <w:r w:rsidR="00207415">
        <w:rPr>
          <w:sz w:val="26"/>
          <w:szCs w:val="22"/>
        </w:rPr>
        <w:t>primary/foreign key relationships)</w:t>
      </w:r>
    </w:p>
    <w:p w14:paraId="69353662" w14:textId="21B2A2CB" w:rsidR="00207415" w:rsidRPr="00207415" w:rsidRDefault="00207415" w:rsidP="00207415">
      <w:pPr>
        <w:pStyle w:val="ListParagraph"/>
        <w:numPr>
          <w:ilvl w:val="0"/>
          <w:numId w:val="17"/>
        </w:numPr>
        <w:spacing w:before="60"/>
      </w:pPr>
      <w:r>
        <w:rPr>
          <w:sz w:val="26"/>
          <w:szCs w:val="22"/>
        </w:rPr>
        <w:t>Many DataRecord collections each with their</w:t>
      </w:r>
      <w:r w:rsidR="00775B2B">
        <w:rPr>
          <w:sz w:val="26"/>
          <w:szCs w:val="22"/>
        </w:rPr>
        <w:t xml:space="preserve"> own LogicalRecordLayout</w:t>
      </w:r>
      <w:r>
        <w:rPr>
          <w:sz w:val="26"/>
          <w:szCs w:val="22"/>
        </w:rPr>
        <w:t xml:space="preserve"> may be hosted in a DataStore</w:t>
      </w:r>
      <w:r w:rsidR="00775B2B">
        <w:rPr>
          <w:sz w:val="26"/>
          <w:szCs w:val="22"/>
        </w:rPr>
        <w:t>. Imagine tables.</w:t>
      </w:r>
    </w:p>
    <w:p w14:paraId="1EEB7405" w14:textId="4696C4E2" w:rsidR="00207415" w:rsidRPr="00207415" w:rsidRDefault="00207415" w:rsidP="00207415">
      <w:pPr>
        <w:pStyle w:val="ListParagraph"/>
        <w:numPr>
          <w:ilvl w:val="0"/>
          <w:numId w:val="17"/>
        </w:numPr>
        <w:spacing w:before="60"/>
      </w:pPr>
      <w:r>
        <w:rPr>
          <w:sz w:val="26"/>
          <w:szCs w:val="22"/>
        </w:rPr>
        <w:t>The DataStore is also a collection</w:t>
      </w:r>
      <w:r w:rsidR="00775B2B">
        <w:rPr>
          <w:sz w:val="26"/>
          <w:szCs w:val="22"/>
        </w:rPr>
        <w:t>. Imagine table groups.</w:t>
      </w:r>
    </w:p>
    <w:p w14:paraId="59F180A7" w14:textId="77777777" w:rsidR="00207415" w:rsidRDefault="00207415" w:rsidP="00207415">
      <w:pPr>
        <w:rPr>
          <w:sz w:val="26"/>
          <w:szCs w:val="22"/>
        </w:rPr>
      </w:pPr>
    </w:p>
    <w:p w14:paraId="7B3689C1" w14:textId="4EC4BC1A" w:rsidR="00A570B7" w:rsidRDefault="00207415" w:rsidP="00207415">
      <w:r w:rsidRPr="00207415">
        <w:rPr>
          <w:sz w:val="26"/>
          <w:szCs w:val="22"/>
        </w:rPr>
        <w:t xml:space="preserve"> </w:t>
      </w:r>
      <w:r w:rsidR="00A21001">
        <w:rPr>
          <w:sz w:val="26"/>
          <w:szCs w:val="22"/>
        </w:rPr>
        <w:t>Seemingly this Relational View of the LogicalDataDescription package</w:t>
      </w:r>
      <w:r w:rsidR="00775B2B">
        <w:rPr>
          <w:sz w:val="26"/>
          <w:szCs w:val="22"/>
        </w:rPr>
        <w:t xml:space="preserve"> is in conformance with the W3C standard.</w:t>
      </w:r>
    </w:p>
    <w:p w14:paraId="764FA3E7" w14:textId="77777777" w:rsidR="00A570B7" w:rsidRDefault="00A570B7" w:rsidP="005771F5"/>
    <w:p w14:paraId="05D1748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"tableSchema": {</w:t>
      </w:r>
    </w:p>
    <w:p w14:paraId="4F70519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"columns": [{</w:t>
      </w:r>
    </w:p>
    <w:p w14:paraId="22F79D1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"givenName"</w:t>
      </w:r>
    </w:p>
    <w:p w14:paraId="1052903E"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w:t>
      </w:r>
    </w:p>
    <w:p w14:paraId="4A744AED"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"familyName"</w:t>
      </w:r>
    </w:p>
    <w:p w14:paraId="6A6B4CF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 ],</w:t>
      </w:r>
    </w:p>
    <w:p w14:paraId="3174D55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"primaryKey": [ "givenName", "familyName" ]</w:t>
      </w:r>
    </w:p>
    <w:p w14:paraId="684FB93F" w14:textId="6A29E949" w:rsidR="00A570B7" w:rsidRPr="0072160C" w:rsidRDefault="00775B2B" w:rsidP="00775B2B">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4E77E91" w14:textId="77777777" w:rsidR="00775B2B" w:rsidRPr="0072160C" w:rsidRDefault="00775B2B" w:rsidP="00775B2B">
      <w:pPr>
        <w:rPr>
          <w:rFonts w:ascii="Courier" w:hAnsi="Courier" w:cs="Courier"/>
          <w:color w:val="000000" w:themeColor="text1"/>
          <w:sz w:val="22"/>
          <w:szCs w:val="22"/>
        </w:rPr>
      </w:pPr>
    </w:p>
    <w:p w14:paraId="09AF7D93"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 [{</w:t>
      </w:r>
    </w:p>
    <w:p w14:paraId="2C712C7F"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"https://example.org/countries.csv",</w:t>
      </w:r>
    </w:p>
    <w:p w14:paraId="0CC4D18B"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"https://example.org/countries.json"</w:t>
      </w:r>
    </w:p>
    <w:p w14:paraId="75A766F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w:t>
      </w:r>
    </w:p>
    <w:p w14:paraId="3225BE50"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"https://example.org/country_slice.csv",</w:t>
      </w:r>
    </w:p>
    <w:p w14:paraId="6D02DFE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"https://example.org/country_slice.json"</w:t>
      </w:r>
    </w:p>
    <w:p w14:paraId="1FEF73D8" w14:textId="2254566B" w:rsidR="00775B2B" w:rsidRDefault="0072160C" w:rsidP="0072160C">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A39F49E" w14:textId="77777777" w:rsidR="0072160C" w:rsidRDefault="0072160C" w:rsidP="0072160C">
      <w:pPr>
        <w:rPr>
          <w:rFonts w:ascii="Courier" w:hAnsi="Courier" w:cs="Courier"/>
          <w:color w:val="000000" w:themeColor="text1"/>
          <w:sz w:val="22"/>
          <w:szCs w:val="22"/>
        </w:rPr>
      </w:pPr>
    </w:p>
    <w:p w14:paraId="4C6A49BC" w14:textId="1894FB80" w:rsidR="0072160C" w:rsidRPr="0072160C" w:rsidRDefault="00434A55" w:rsidP="0072160C">
      <w:pPr>
        <w:rPr>
          <w:color w:val="000000" w:themeColor="text1"/>
          <w:sz w:val="26"/>
          <w:szCs w:val="26"/>
        </w:rPr>
      </w:pPr>
      <w:r>
        <w:rPr>
          <w:rFonts w:cs="Courier"/>
          <w:color w:val="000000" w:themeColor="text1"/>
          <w:sz w:val="26"/>
          <w:szCs w:val="26"/>
        </w:rPr>
        <w:t>What we don’t show here</w:t>
      </w:r>
      <w:r w:rsidR="00C2348B">
        <w:rPr>
          <w:rFonts w:cs="Courier"/>
          <w:color w:val="000000" w:themeColor="text1"/>
          <w:sz w:val="26"/>
          <w:szCs w:val="26"/>
        </w:rPr>
        <w:t xml:space="preserve"> is that</w:t>
      </w:r>
      <w:r w:rsidR="0072160C">
        <w:rPr>
          <w:rFonts w:cs="Courier"/>
          <w:color w:val="000000" w:themeColor="text1"/>
          <w:sz w:val="26"/>
          <w:szCs w:val="26"/>
        </w:rPr>
        <w:t xml:space="preserve"> the LogicalRecordLayout has a corresponding PhysicalLayout through which a .csv might be generated</w:t>
      </w:r>
      <w:r w:rsidR="003E2DD7">
        <w:rPr>
          <w:rFonts w:cs="Courier"/>
          <w:color w:val="000000" w:themeColor="text1"/>
          <w:sz w:val="26"/>
          <w:szCs w:val="26"/>
        </w:rPr>
        <w:t xml:space="preserve"> by a software agent</w:t>
      </w:r>
      <w:r w:rsidR="0072160C">
        <w:rPr>
          <w:rFonts w:cs="Courier"/>
          <w:color w:val="000000" w:themeColor="text1"/>
          <w:sz w:val="26"/>
          <w:szCs w:val="26"/>
        </w:rPr>
        <w:t>.</w:t>
      </w:r>
      <w:r w:rsidR="00C2348B">
        <w:rPr>
          <w:rFonts w:cs="Courier"/>
          <w:color w:val="000000" w:themeColor="text1"/>
          <w:sz w:val="26"/>
          <w:szCs w:val="26"/>
        </w:rPr>
        <w:t xml:space="preserve"> </w:t>
      </w:r>
      <w:r w:rsidR="00206572">
        <w:rPr>
          <w:rFonts w:cs="Courier"/>
          <w:color w:val="000000" w:themeColor="text1"/>
          <w:sz w:val="26"/>
          <w:szCs w:val="26"/>
        </w:rPr>
        <w:t>PhysicalLayout belongs to</w:t>
      </w:r>
      <w:r w:rsidR="00C2348B">
        <w:rPr>
          <w:rFonts w:cs="Courier"/>
          <w:color w:val="000000" w:themeColor="text1"/>
          <w:sz w:val="26"/>
          <w:szCs w:val="26"/>
        </w:rPr>
        <w:t xml:space="preserve"> another DDI4 package called </w:t>
      </w:r>
      <w:hyperlink r:id="rId15" w:history="1">
        <w:r w:rsidR="00C2348B" w:rsidRPr="00C2348B">
          <w:rPr>
            <w:rStyle w:val="Hyperlink"/>
            <w:rFonts w:cs="Courier"/>
            <w:sz w:val="26"/>
            <w:szCs w:val="26"/>
          </w:rPr>
          <w:t>FormatDescription</w:t>
        </w:r>
      </w:hyperlink>
      <w:r w:rsidR="00C2348B">
        <w:rPr>
          <w:rFonts w:cs="Courier"/>
          <w:color w:val="000000" w:themeColor="text1"/>
          <w:sz w:val="26"/>
          <w:szCs w:val="26"/>
        </w:rPr>
        <w:t xml:space="preserve">. We </w:t>
      </w:r>
      <w:r w:rsidR="00043A6F">
        <w:rPr>
          <w:rFonts w:cs="Courier"/>
          <w:color w:val="000000" w:themeColor="text1"/>
          <w:sz w:val="26"/>
          <w:szCs w:val="26"/>
        </w:rPr>
        <w:t>can go there in the future but right now we prefer to be discrete and not</w:t>
      </w:r>
      <w:r w:rsidR="00C2348B">
        <w:rPr>
          <w:rFonts w:cs="Courier"/>
          <w:color w:val="000000" w:themeColor="text1"/>
          <w:sz w:val="26"/>
          <w:szCs w:val="26"/>
        </w:rPr>
        <w:t xml:space="preserve"> </w:t>
      </w:r>
      <w:hyperlink r:id="rId16" w:history="1">
        <w:r w:rsidR="00043A6F">
          <w:rPr>
            <w:rStyle w:val="Hyperlink"/>
            <w:rFonts w:cs="Courier"/>
            <w:sz w:val="26"/>
            <w:szCs w:val="26"/>
          </w:rPr>
          <w:t>boil</w:t>
        </w:r>
        <w:r w:rsidR="00C2348B" w:rsidRPr="00C2348B">
          <w:rPr>
            <w:rStyle w:val="Hyperlink"/>
            <w:rFonts w:cs="Courier"/>
            <w:sz w:val="26"/>
            <w:szCs w:val="26"/>
          </w:rPr>
          <w:t xml:space="preserve"> the ocean</w:t>
        </w:r>
      </w:hyperlink>
      <w:r w:rsidR="0084409E">
        <w:rPr>
          <w:rFonts w:cs="Courier"/>
          <w:color w:val="000000" w:themeColor="text1"/>
          <w:sz w:val="26"/>
          <w:szCs w:val="26"/>
        </w:rPr>
        <w:t xml:space="preserve"> with other packages and views.</w:t>
      </w:r>
    </w:p>
    <w:p w14:paraId="5582881E" w14:textId="77777777" w:rsidR="00A570B7" w:rsidRDefault="00A570B7" w:rsidP="005771F5"/>
    <w:p w14:paraId="0BACC5C3" w14:textId="50253B74" w:rsidR="00A570B7" w:rsidRDefault="00C2348B" w:rsidP="00C2348B">
      <w:pPr>
        <w:pStyle w:val="Heading1"/>
        <w:spacing w:after="60"/>
      </w:pPr>
      <w:r>
        <w:t>The Data Warehouse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C2348B" w14:paraId="6C473107" w14:textId="77777777" w:rsidTr="00C2348B">
        <w:tc>
          <w:tcPr>
            <w:tcW w:w="9350" w:type="dxa"/>
            <w:shd w:val="pct5" w:color="auto" w:fill="auto"/>
          </w:tcPr>
          <w:p w14:paraId="77F4F146" w14:textId="77777777" w:rsidR="001F39C3" w:rsidRDefault="00A622D9" w:rsidP="001F39C3">
            <w:pPr>
              <w:keepNext/>
            </w:pPr>
            <w:r>
              <w:rPr>
                <w:noProof/>
              </w:rPr>
              <w:drawing>
                <wp:inline distT="0" distB="0" distL="0" distR="0" wp14:anchorId="1E1F5CE8" wp14:editId="74951D9F">
                  <wp:extent cx="5943600" cy="5050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a Metamodel - Data Warehou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050790"/>
                          </a:xfrm>
                          <a:prstGeom prst="rect">
                            <a:avLst/>
                          </a:prstGeom>
                        </pic:spPr>
                      </pic:pic>
                    </a:graphicData>
                  </a:graphic>
                </wp:inline>
              </w:drawing>
            </w:r>
          </w:p>
          <w:p w14:paraId="3A33B22D" w14:textId="1D060123" w:rsidR="00C2348B" w:rsidRDefault="001F39C3" w:rsidP="001F39C3">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4</w:t>
            </w:r>
            <w:r w:rsidR="00F35C85">
              <w:rPr>
                <w:noProof/>
              </w:rPr>
              <w:fldChar w:fldCharType="end"/>
            </w:r>
            <w:r>
              <w:t>: Proposed Data Warehouse View</w:t>
            </w:r>
          </w:p>
        </w:tc>
      </w:tr>
    </w:tbl>
    <w:p w14:paraId="5AB08488" w14:textId="46B7D85A" w:rsidR="00CB2B47" w:rsidRPr="00A622D9" w:rsidRDefault="00CB2B47" w:rsidP="00A622D9">
      <w:pPr>
        <w:rPr>
          <w:sz w:val="26"/>
          <w:szCs w:val="26"/>
        </w:rPr>
      </w:pPr>
    </w:p>
    <w:p w14:paraId="121AFA6E" w14:textId="143395A6" w:rsidR="00907322" w:rsidRPr="00907322" w:rsidRDefault="00907322" w:rsidP="00907322">
      <w:pPr>
        <w:rPr>
          <w:sz w:val="26"/>
          <w:szCs w:val="26"/>
        </w:rPr>
      </w:pPr>
      <w:r>
        <w:rPr>
          <w:sz w:val="26"/>
          <w:szCs w:val="26"/>
        </w:rPr>
        <w:t>The difference in this Big Picture fragment is the addition of the ViewPoint.</w:t>
      </w:r>
    </w:p>
    <w:p w14:paraId="539E9D66" w14:textId="0960D9C7" w:rsidR="00A622D9" w:rsidRDefault="00A622D9" w:rsidP="00907322">
      <w:pPr>
        <w:pStyle w:val="ListParagraph"/>
        <w:numPr>
          <w:ilvl w:val="0"/>
          <w:numId w:val="18"/>
        </w:numPr>
        <w:spacing w:before="60"/>
        <w:rPr>
          <w:sz w:val="26"/>
          <w:szCs w:val="26"/>
        </w:rPr>
      </w:pPr>
      <w:r>
        <w:rPr>
          <w:sz w:val="26"/>
          <w:szCs w:val="26"/>
        </w:rPr>
        <w:t>In a fact table most variables play identifier roles. One variable plays a measure role</w:t>
      </w:r>
    </w:p>
    <w:p w14:paraId="07094320" w14:textId="638F4EC7" w:rsidR="00A622D9" w:rsidRDefault="00A622D9" w:rsidP="00907322">
      <w:pPr>
        <w:pStyle w:val="ListParagraph"/>
        <w:numPr>
          <w:ilvl w:val="0"/>
          <w:numId w:val="18"/>
        </w:numPr>
        <w:spacing w:before="60"/>
        <w:rPr>
          <w:sz w:val="26"/>
          <w:szCs w:val="26"/>
        </w:rPr>
      </w:pPr>
      <w:r>
        <w:rPr>
          <w:sz w:val="26"/>
          <w:szCs w:val="26"/>
        </w:rPr>
        <w:t>Attributes of a measurement are not easily handled</w:t>
      </w:r>
    </w:p>
    <w:p w14:paraId="0BCE1DEF" w14:textId="7D5F140A" w:rsidR="00A622D9" w:rsidRDefault="00A622D9" w:rsidP="00907322">
      <w:pPr>
        <w:pStyle w:val="ListParagraph"/>
        <w:numPr>
          <w:ilvl w:val="0"/>
          <w:numId w:val="18"/>
        </w:numPr>
        <w:spacing w:before="60"/>
        <w:rPr>
          <w:sz w:val="26"/>
          <w:szCs w:val="26"/>
        </w:rPr>
      </w:pPr>
      <w:r>
        <w:rPr>
          <w:sz w:val="26"/>
          <w:szCs w:val="26"/>
        </w:rPr>
        <w:t>In a dimension table most variables play measure roles and one or more variables play an identifier role</w:t>
      </w:r>
    </w:p>
    <w:p w14:paraId="21C26E10" w14:textId="55C56E08" w:rsidR="00A622D9" w:rsidRPr="00A622D9" w:rsidRDefault="00A622D9" w:rsidP="00907322">
      <w:pPr>
        <w:pStyle w:val="ListParagraph"/>
        <w:numPr>
          <w:ilvl w:val="0"/>
          <w:numId w:val="18"/>
        </w:numPr>
        <w:spacing w:before="60"/>
        <w:rPr>
          <w:sz w:val="26"/>
          <w:szCs w:val="26"/>
        </w:rPr>
      </w:pPr>
      <w:r>
        <w:rPr>
          <w:sz w:val="26"/>
          <w:szCs w:val="26"/>
        </w:rPr>
        <w:t>Leveraging identif</w:t>
      </w:r>
      <w:r w:rsidR="00907322">
        <w:rPr>
          <w:sz w:val="26"/>
          <w:szCs w:val="26"/>
        </w:rPr>
        <w:t>i</w:t>
      </w:r>
      <w:r>
        <w:rPr>
          <w:sz w:val="26"/>
          <w:szCs w:val="26"/>
        </w:rPr>
        <w:t>ers across</w:t>
      </w:r>
      <w:r w:rsidR="00907322">
        <w:rPr>
          <w:sz w:val="26"/>
          <w:szCs w:val="26"/>
        </w:rPr>
        <w:t xml:space="preserve"> fact and dimension tables, e</w:t>
      </w:r>
      <w:r w:rsidR="00907322" w:rsidRPr="00A622D9">
        <w:rPr>
          <w:sz w:val="26"/>
          <w:szCs w:val="26"/>
        </w:rPr>
        <w:t>ach dimensio</w:t>
      </w:r>
      <w:r w:rsidR="00907322">
        <w:rPr>
          <w:sz w:val="26"/>
          <w:szCs w:val="26"/>
        </w:rPr>
        <w:t xml:space="preserve">n table </w:t>
      </w:r>
      <w:r w:rsidR="00907322" w:rsidRPr="00A622D9">
        <w:rPr>
          <w:sz w:val="26"/>
          <w:szCs w:val="26"/>
        </w:rPr>
        <w:t>enjoys a primary/foreign key relationship with one or more fact tables</w:t>
      </w:r>
    </w:p>
    <w:p w14:paraId="5573AE90" w14:textId="5E663F02" w:rsidR="004B7D28" w:rsidRDefault="004B7D28" w:rsidP="001D6F23">
      <w:pPr>
        <w:ind w:left="-270"/>
      </w:pPr>
    </w:p>
    <w:p w14:paraId="7ED6F807" w14:textId="6CA004CB" w:rsidR="00907322" w:rsidRDefault="00F35C85" w:rsidP="004E3714">
      <w:pPr>
        <w:pStyle w:val="Heading1"/>
        <w:spacing w:after="60"/>
      </w:pPr>
      <w:hyperlink r:id="rId18" w:history="1">
        <w:r w:rsidR="00907322" w:rsidRPr="00CF23E9">
          <w:rPr>
            <w:rStyle w:val="Hyperlink"/>
          </w:rPr>
          <w:t>Thunking</w:t>
        </w:r>
      </w:hyperlink>
      <w:r w:rsidR="00907322">
        <w:t xml:space="preserve"> Non-Tabular Data</w:t>
      </w:r>
      <w:r w:rsidR="004E3714">
        <w:t>: JSON and RDF</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4E3714" w14:paraId="17052E40" w14:textId="77777777" w:rsidTr="004E3714">
        <w:tc>
          <w:tcPr>
            <w:tcW w:w="9350" w:type="dxa"/>
            <w:shd w:val="pct5" w:color="auto" w:fill="auto"/>
          </w:tcPr>
          <w:p w14:paraId="410D9B7C" w14:textId="77777777" w:rsidR="007B0124" w:rsidRDefault="004E3714" w:rsidP="007B0124">
            <w:pPr>
              <w:keepNext/>
            </w:pPr>
            <w:r>
              <w:rPr>
                <w:noProof/>
              </w:rPr>
              <w:drawing>
                <wp:inline distT="0" distB="0" distL="0" distR="0" wp14:anchorId="3427A8E3" wp14:editId="6B046CD4">
                  <wp:extent cx="5943600" cy="5605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a Metamodel - Non-Tabular Data 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p w14:paraId="51E69C40" w14:textId="1F44688F" w:rsidR="004E3714" w:rsidRDefault="007B0124" w:rsidP="007B0124">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5</w:t>
            </w:r>
            <w:r w:rsidR="00F35C85">
              <w:rPr>
                <w:noProof/>
              </w:rPr>
              <w:fldChar w:fldCharType="end"/>
            </w:r>
            <w:r>
              <w:t xml:space="preserve">: </w:t>
            </w:r>
            <w:r w:rsidR="00CF2CD4">
              <w:t xml:space="preserve">The </w:t>
            </w:r>
            <w:r w:rsidR="003C20CB">
              <w:t>Elementary</w:t>
            </w:r>
            <w:r w:rsidR="00CF2CD4">
              <w:t xml:space="preserve"> View</w:t>
            </w:r>
            <w:r w:rsidR="003C20CB">
              <w:t xml:space="preserve"> - </w:t>
            </w:r>
            <w:r>
              <w:t>A Cross Between Key/Value Pairs and Triples</w:t>
            </w:r>
          </w:p>
        </w:tc>
      </w:tr>
    </w:tbl>
    <w:p w14:paraId="26511446" w14:textId="77777777" w:rsidR="00907322" w:rsidRPr="004B7D28" w:rsidRDefault="00907322" w:rsidP="004E3714"/>
    <w:p w14:paraId="680C317B" w14:textId="77D11F35" w:rsidR="00410A0C" w:rsidRPr="003D40EF" w:rsidRDefault="004E3714" w:rsidP="003D40EF">
      <w:pPr>
        <w:pStyle w:val="ListParagraph"/>
        <w:numPr>
          <w:ilvl w:val="0"/>
          <w:numId w:val="20"/>
        </w:numPr>
        <w:spacing w:before="120"/>
        <w:rPr>
          <w:sz w:val="26"/>
          <w:szCs w:val="22"/>
        </w:rPr>
      </w:pPr>
      <w:r w:rsidRPr="003D40EF">
        <w:rPr>
          <w:sz w:val="26"/>
          <w:szCs w:val="22"/>
        </w:rPr>
        <w:t>B</w:t>
      </w:r>
      <w:r w:rsidR="00410A0C" w:rsidRPr="003D40EF">
        <w:rPr>
          <w:sz w:val="26"/>
          <w:szCs w:val="22"/>
        </w:rPr>
        <w:t xml:space="preserve">efore a LogicalRecordLayout can express other types of schema </w:t>
      </w:r>
      <w:r w:rsidR="0006349C" w:rsidRPr="003D40EF">
        <w:rPr>
          <w:sz w:val="26"/>
          <w:szCs w:val="22"/>
        </w:rPr>
        <w:t>it needs to be able to host sub-schema. That is the purpose of the “</w:t>
      </w:r>
      <w:r w:rsidR="00384911">
        <w:rPr>
          <w:sz w:val="26"/>
          <w:szCs w:val="22"/>
        </w:rPr>
        <w:t>nests</w:t>
      </w:r>
      <w:r w:rsidR="0006349C" w:rsidRPr="003D40EF">
        <w:rPr>
          <w:sz w:val="26"/>
          <w:szCs w:val="22"/>
        </w:rPr>
        <w:t>” relationship through which a LogicalRecordLayout can contain a LogicalRecordLayout. With this relationship in place LogicalRecordL</w:t>
      </w:r>
      <w:r w:rsidR="002E0195" w:rsidRPr="003D40EF">
        <w:rPr>
          <w:sz w:val="26"/>
          <w:szCs w:val="22"/>
        </w:rPr>
        <w:t>ayout can be a model for other types of data in addition to tabular data</w:t>
      </w:r>
    </w:p>
    <w:p w14:paraId="1BBBE49E" w14:textId="440FA091" w:rsidR="009F1820" w:rsidRDefault="004B7D28" w:rsidP="009F1820">
      <w:pPr>
        <w:pStyle w:val="ListParagraph"/>
        <w:numPr>
          <w:ilvl w:val="1"/>
          <w:numId w:val="1"/>
        </w:numPr>
        <w:spacing w:before="120"/>
        <w:rPr>
          <w:sz w:val="26"/>
          <w:szCs w:val="22"/>
        </w:rPr>
      </w:pPr>
      <w:r>
        <w:rPr>
          <w:sz w:val="26"/>
          <w:szCs w:val="22"/>
        </w:rPr>
        <w:t>So t</w:t>
      </w:r>
      <w:r w:rsidR="002E0195">
        <w:rPr>
          <w:sz w:val="26"/>
          <w:szCs w:val="22"/>
        </w:rPr>
        <w:t>he</w:t>
      </w:r>
      <w:r w:rsidR="00410A0C">
        <w:rPr>
          <w:sz w:val="26"/>
          <w:szCs w:val="22"/>
        </w:rPr>
        <w:t xml:space="preserve"> LogicalRecordLayout is inclusive of the schema for an RDF assertions as defined </w:t>
      </w:r>
      <w:hyperlink r:id="rId20" w:anchor="model" w:history="1">
        <w:r w:rsidR="00410A0C">
          <w:rPr>
            <w:rStyle w:val="Hyperlink"/>
            <w:sz w:val="26"/>
            <w:szCs w:val="22"/>
          </w:rPr>
          <w:t>here</w:t>
        </w:r>
      </w:hyperlink>
      <w:r w:rsidR="00410A0C">
        <w:rPr>
          <w:sz w:val="26"/>
          <w:szCs w:val="22"/>
        </w:rPr>
        <w:t xml:space="preserve"> in the seminal W3C RDF Model and Syntax (1997) and made more popular and usable in </w:t>
      </w:r>
      <w:hyperlink r:id="rId21" w:history="1">
        <w:r w:rsidR="00410A0C">
          <w:rPr>
            <w:rStyle w:val="Hyperlink"/>
            <w:sz w:val="26"/>
            <w:szCs w:val="22"/>
          </w:rPr>
          <w:t>N3</w:t>
        </w:r>
      </w:hyperlink>
      <w:r w:rsidR="00410A0C">
        <w:rPr>
          <w:sz w:val="26"/>
          <w:szCs w:val="22"/>
        </w:rPr>
        <w:t xml:space="preserve"> (2011)</w:t>
      </w:r>
      <w:r w:rsidR="009F1820">
        <w:rPr>
          <w:sz w:val="26"/>
          <w:szCs w:val="22"/>
        </w:rPr>
        <w:br/>
      </w:r>
    </w:p>
    <w:tbl>
      <w:tblPr>
        <w:tblStyle w:val="TableGrid"/>
        <w:tblW w:w="0" w:type="auto"/>
        <w:tblInd w:w="715" w:type="dxa"/>
        <w:tblBorders>
          <w:insideH w:val="none" w:sz="0" w:space="0" w:color="auto"/>
          <w:insideV w:val="none" w:sz="0" w:space="0" w:color="auto"/>
        </w:tblBorders>
        <w:shd w:val="pct5" w:color="auto" w:fill="D9D9D9" w:themeFill="background1" w:themeFillShade="D9"/>
        <w:tblLook w:val="04A0" w:firstRow="1" w:lastRow="0" w:firstColumn="1" w:lastColumn="0" w:noHBand="0" w:noVBand="1"/>
      </w:tblPr>
      <w:tblGrid>
        <w:gridCol w:w="8635"/>
      </w:tblGrid>
      <w:tr w:rsidR="009F1820" w14:paraId="27466D2F" w14:textId="77777777" w:rsidTr="004E28F4">
        <w:tc>
          <w:tcPr>
            <w:tcW w:w="8635" w:type="dxa"/>
            <w:tcBorders>
              <w:top w:val="single" w:sz="4" w:space="0" w:color="auto"/>
              <w:bottom w:val="single" w:sz="4" w:space="0" w:color="auto"/>
            </w:tcBorders>
            <w:shd w:val="pct5" w:color="auto" w:fill="auto"/>
          </w:tcPr>
          <w:p w14:paraId="35A8FE12" w14:textId="295DC940" w:rsidR="009F1820" w:rsidRPr="00AA2824" w:rsidRDefault="009F1820" w:rsidP="009F1820">
            <w:pPr>
              <w:widowControl w:val="0"/>
              <w:autoSpaceDE w:val="0"/>
              <w:autoSpaceDN w:val="0"/>
              <w:adjustRightInd w:val="0"/>
              <w:rPr>
                <w:rFonts w:cs="Times"/>
                <w:sz w:val="26"/>
                <w:szCs w:val="26"/>
              </w:rPr>
            </w:pPr>
            <w:r w:rsidRPr="00AA2824">
              <w:rPr>
                <w:rFonts w:cs="Times"/>
                <w:sz w:val="26"/>
                <w:szCs w:val="26"/>
              </w:rPr>
              <w:t>A collection of t</w:t>
            </w:r>
            <w:r w:rsidR="00C37179" w:rsidRPr="00AA2824">
              <w:rPr>
                <w:rFonts w:cs="Times"/>
                <w:sz w:val="26"/>
                <w:szCs w:val="26"/>
              </w:rPr>
              <w:t>riples with the same resource</w:t>
            </w:r>
            <w:r w:rsidRPr="00AA2824">
              <w:rPr>
                <w:rFonts w:cs="Times"/>
                <w:sz w:val="26"/>
                <w:szCs w:val="26"/>
              </w:rPr>
              <w:t xml:space="preserve"> is called an </w:t>
            </w:r>
            <w:r w:rsidRPr="00AA2824">
              <w:rPr>
                <w:rFonts w:cs="Times"/>
                <w:i/>
                <w:iCs/>
                <w:sz w:val="26"/>
                <w:szCs w:val="26"/>
              </w:rPr>
              <w:t>assertions</w:t>
            </w:r>
            <w:r w:rsidRPr="00AA2824">
              <w:rPr>
                <w:rFonts w:cs="Times"/>
                <w:sz w:val="26"/>
                <w:szCs w:val="26"/>
              </w:rPr>
              <w:t>. Assertions are particularly useful when describing a number of properties of the same resource. Assertions are diagrammed as follows:</w:t>
            </w:r>
          </w:p>
          <w:p w14:paraId="2F27D574" w14:textId="77777777" w:rsidR="009F1820" w:rsidRPr="00AA2824" w:rsidRDefault="009F1820" w:rsidP="009F1820">
            <w:pPr>
              <w:widowControl w:val="0"/>
              <w:tabs>
                <w:tab w:val="left" w:pos="220"/>
                <w:tab w:val="left" w:pos="720"/>
              </w:tabs>
              <w:autoSpaceDE w:val="0"/>
              <w:autoSpaceDN w:val="0"/>
              <w:adjustRightInd w:val="0"/>
              <w:spacing w:before="120"/>
              <w:rPr>
                <w:rFonts w:cs="Courier"/>
                <w:sz w:val="26"/>
                <w:szCs w:val="26"/>
              </w:rPr>
            </w:pPr>
            <w:r w:rsidRPr="00AA2824">
              <w:rPr>
                <w:rFonts w:cs="Courier"/>
                <w:sz w:val="26"/>
                <w:szCs w:val="26"/>
              </w:rPr>
              <w:t>[resource R] ----property P1----&gt; [value Vp1]</w:t>
            </w:r>
          </w:p>
          <w:p w14:paraId="26347F9C" w14:textId="739F69DE" w:rsidR="009F1820" w:rsidRPr="00AA2824" w:rsidRDefault="009F1820" w:rsidP="009F1820">
            <w:pPr>
              <w:widowControl w:val="0"/>
              <w:tabs>
                <w:tab w:val="left" w:pos="220"/>
                <w:tab w:val="left" w:pos="720"/>
              </w:tabs>
              <w:autoSpaceDE w:val="0"/>
              <w:autoSpaceDN w:val="0"/>
              <w:adjustRightInd w:val="0"/>
              <w:rPr>
                <w:rFonts w:cs="Courier"/>
                <w:sz w:val="26"/>
                <w:szCs w:val="26"/>
              </w:rPr>
            </w:pPr>
            <w:r w:rsidRPr="00AA2824">
              <w:rPr>
                <w:rFonts w:cs="Courier"/>
                <w:sz w:val="26"/>
                <w:szCs w:val="26"/>
              </w:rPr>
              <w:t xml:space="preserve">                     |</w:t>
            </w:r>
          </w:p>
          <w:p w14:paraId="47104D8D" w14:textId="263BF945" w:rsidR="009F1820" w:rsidRPr="00AA2824" w:rsidRDefault="009F1820" w:rsidP="009F1820">
            <w:pPr>
              <w:widowControl w:val="0"/>
              <w:tabs>
                <w:tab w:val="left" w:pos="220"/>
                <w:tab w:val="left" w:pos="720"/>
              </w:tabs>
              <w:autoSpaceDE w:val="0"/>
              <w:autoSpaceDN w:val="0"/>
              <w:adjustRightInd w:val="0"/>
              <w:rPr>
                <w:rFonts w:cs="Times"/>
                <w:sz w:val="26"/>
                <w:szCs w:val="26"/>
              </w:rPr>
            </w:pPr>
            <w:r w:rsidRPr="00AA2824">
              <w:rPr>
                <w:rFonts w:cs="Courier"/>
                <w:sz w:val="26"/>
                <w:szCs w:val="26"/>
              </w:rPr>
              <w:t xml:space="preserve">                       ----property P2----&gt; [value Vp2]</w:t>
            </w:r>
          </w:p>
          <w:p w14:paraId="7AF1BF57" w14:textId="577BF7CF" w:rsidR="009F1820" w:rsidRPr="009F1820" w:rsidRDefault="009F1820" w:rsidP="009F1820">
            <w:pPr>
              <w:spacing w:before="120"/>
              <w:rPr>
                <w:sz w:val="26"/>
                <w:szCs w:val="22"/>
              </w:rPr>
            </w:pPr>
            <w:r w:rsidRPr="00AA2824">
              <w:rPr>
                <w:rFonts w:cs="Times"/>
                <w:sz w:val="26"/>
                <w:szCs w:val="26"/>
              </w:rPr>
              <w:t>An RDF </w:t>
            </w:r>
            <w:r w:rsidRPr="00AA2824">
              <w:rPr>
                <w:rFonts w:cs="Times"/>
                <w:i/>
                <w:iCs/>
                <w:sz w:val="26"/>
                <w:szCs w:val="26"/>
              </w:rPr>
              <w:t>assertions</w:t>
            </w:r>
            <w:r w:rsidRPr="00AA2824">
              <w:rPr>
                <w:rFonts w:cs="Times"/>
                <w:sz w:val="26"/>
                <w:szCs w:val="26"/>
              </w:rPr>
              <w:t xml:space="preserve"> can be a resource itself and can therefore be described by properties; that is, an </w:t>
            </w:r>
            <w:r w:rsidRPr="00AA2824">
              <w:rPr>
                <w:rFonts w:cs="Times"/>
                <w:i/>
                <w:iCs/>
                <w:sz w:val="26"/>
                <w:szCs w:val="26"/>
              </w:rPr>
              <w:t>assertions</w:t>
            </w:r>
            <w:r w:rsidRPr="00AA2824">
              <w:rPr>
                <w:rFonts w:cs="Times"/>
                <w:sz w:val="26"/>
                <w:szCs w:val="26"/>
              </w:rPr>
              <w:t xml:space="preserve"> can itself be used as the source node of an arc.</w:t>
            </w:r>
          </w:p>
        </w:tc>
      </w:tr>
    </w:tbl>
    <w:p w14:paraId="36D31AFE" w14:textId="7233B0B9" w:rsidR="00410A0C" w:rsidRPr="009F1820" w:rsidRDefault="00410A0C" w:rsidP="009F1820">
      <w:pPr>
        <w:ind w:left="720"/>
        <w:rPr>
          <w:sz w:val="26"/>
          <w:szCs w:val="22"/>
        </w:rPr>
      </w:pPr>
    </w:p>
    <w:p w14:paraId="5BBF5DE9" w14:textId="3DC0218F" w:rsidR="002E0195" w:rsidRDefault="004B7D28" w:rsidP="009F1820">
      <w:pPr>
        <w:pStyle w:val="ListParagraph"/>
        <w:numPr>
          <w:ilvl w:val="1"/>
          <w:numId w:val="1"/>
        </w:numPr>
        <w:spacing w:before="120"/>
        <w:rPr>
          <w:sz w:val="26"/>
          <w:szCs w:val="22"/>
        </w:rPr>
      </w:pPr>
      <w:r>
        <w:rPr>
          <w:sz w:val="26"/>
          <w:szCs w:val="22"/>
        </w:rPr>
        <w:t>Also, this LogicalRecordLayout can</w:t>
      </w:r>
      <w:r w:rsidR="00CD31B3">
        <w:rPr>
          <w:sz w:val="26"/>
          <w:szCs w:val="22"/>
        </w:rPr>
        <w:t xml:space="preserve"> be used to model structures lik</w:t>
      </w:r>
      <w:r>
        <w:rPr>
          <w:sz w:val="26"/>
          <w:szCs w:val="22"/>
        </w:rPr>
        <w:t>e the</w:t>
      </w:r>
      <w:r w:rsidR="00940086">
        <w:rPr>
          <w:sz w:val="26"/>
          <w:szCs w:val="22"/>
        </w:rPr>
        <w:t xml:space="preserve"> </w:t>
      </w:r>
      <w:hyperlink r:id="rId22" w:history="1">
        <w:r w:rsidR="00940086" w:rsidRPr="000D42B4">
          <w:rPr>
            <w:rStyle w:val="Hyperlink"/>
            <w:sz w:val="26"/>
            <w:szCs w:val="22"/>
          </w:rPr>
          <w:t>c struct</w:t>
        </w:r>
      </w:hyperlink>
      <w:r w:rsidR="00940086">
        <w:rPr>
          <w:sz w:val="26"/>
          <w:szCs w:val="22"/>
        </w:rPr>
        <w:t xml:space="preserve"> </w:t>
      </w:r>
      <w:r w:rsidR="00CD31B3">
        <w:rPr>
          <w:sz w:val="26"/>
          <w:szCs w:val="22"/>
        </w:rPr>
        <w:t>and the JavaScript Objects that are the subject of JavaScript Object Notation (JSON)</w:t>
      </w:r>
      <w:r w:rsidR="004C2707">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4C2707" w14:paraId="13123D23" w14:textId="77777777" w:rsidTr="00AD2193">
        <w:tc>
          <w:tcPr>
            <w:tcW w:w="9350" w:type="dxa"/>
            <w:shd w:val="pct5" w:color="auto" w:fill="auto"/>
          </w:tcPr>
          <w:p w14:paraId="1C25B5E0"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b/>
                <w:bCs/>
                <w:color w:val="262626"/>
                <w:sz w:val="26"/>
                <w:szCs w:val="26"/>
              </w:rPr>
              <w:t>{</w:t>
            </w:r>
          </w:p>
          <w:p w14:paraId="6DBF06F9" w14:textId="18FD7613"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"title"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Example JSON Schema</w:t>
            </w:r>
            <w:r w:rsidRPr="00AA2824">
              <w:rPr>
                <w:rFonts w:cs="Consolas"/>
                <w:b/>
                <w:bCs/>
                <w:color w:val="262626"/>
                <w:sz w:val="26"/>
                <w:szCs w:val="26"/>
              </w:rPr>
              <w:t>",</w:t>
            </w:r>
          </w:p>
          <w:p w14:paraId="547B6BE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object</w:t>
            </w:r>
            <w:r w:rsidRPr="00AA2824">
              <w:rPr>
                <w:rFonts w:cs="Consolas"/>
                <w:b/>
                <w:bCs/>
                <w:color w:val="262626"/>
                <w:sz w:val="26"/>
                <w:szCs w:val="26"/>
              </w:rPr>
              <w:t>",</w:t>
            </w:r>
          </w:p>
          <w:p w14:paraId="1DE84B7A"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"properties"</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3A43BC4"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E95D419"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54F6B3B3"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1758B42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"lastName"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41049CCE"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690053B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C996FB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"age"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3560D66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"description"</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Age in years</w:t>
            </w:r>
            <w:r w:rsidRPr="00AA2824">
              <w:rPr>
                <w:rFonts w:cs="Consolas"/>
                <w:b/>
                <w:bCs/>
                <w:color w:val="262626"/>
                <w:sz w:val="26"/>
                <w:szCs w:val="26"/>
              </w:rPr>
              <w:t>",</w:t>
            </w:r>
          </w:p>
          <w:p w14:paraId="5F0E8D27"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integer</w:t>
            </w:r>
            <w:r w:rsidRPr="00AA2824">
              <w:rPr>
                <w:rFonts w:cs="Consolas"/>
                <w:b/>
                <w:bCs/>
                <w:color w:val="262626"/>
                <w:sz w:val="26"/>
                <w:szCs w:val="26"/>
              </w:rPr>
              <w:t>",</w:t>
            </w:r>
          </w:p>
          <w:p w14:paraId="4C49F98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"minimum"</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535502"/>
                <w:sz w:val="26"/>
                <w:szCs w:val="26"/>
              </w:rPr>
              <w:t>0</w:t>
            </w:r>
          </w:p>
          <w:p w14:paraId="4CF7244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038CA3C"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262626"/>
                <w:sz w:val="26"/>
                <w:szCs w:val="26"/>
              </w:rPr>
              <w:t>},</w:t>
            </w:r>
          </w:p>
          <w:p w14:paraId="3F935AE1" w14:textId="5DB329F9" w:rsidR="004C2707" w:rsidRPr="004C2707" w:rsidRDefault="004C2707" w:rsidP="004C2707">
            <w:pPr>
              <w:spacing w:before="120"/>
              <w:rPr>
                <w:sz w:val="26"/>
                <w:szCs w:val="22"/>
              </w:rPr>
            </w:pPr>
            <w:r w:rsidRPr="00AA2824">
              <w:rPr>
                <w:rFonts w:cs="Consolas"/>
                <w:color w:val="262626"/>
                <w:sz w:val="26"/>
                <w:szCs w:val="26"/>
              </w:rPr>
              <w:tab/>
            </w:r>
            <w:r w:rsidRPr="00AA2824">
              <w:rPr>
                <w:rFonts w:cs="Consolas"/>
                <w:b/>
                <w:bCs/>
                <w:color w:val="032553"/>
                <w:sz w:val="26"/>
                <w:szCs w:val="26"/>
              </w:rPr>
              <w:t>"required"</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lastName</w:t>
            </w:r>
            <w:r w:rsidRPr="00AA2824">
              <w:rPr>
                <w:rFonts w:cs="Consolas"/>
                <w:b/>
                <w:bCs/>
                <w:color w:val="262626"/>
                <w:sz w:val="26"/>
                <w:szCs w:val="26"/>
              </w:rPr>
              <w:t>"]</w:t>
            </w:r>
          </w:p>
        </w:tc>
      </w:tr>
      <w:tr w:rsidR="00AA2824" w14:paraId="6ADD62A4" w14:textId="77777777" w:rsidTr="00AD2193">
        <w:tc>
          <w:tcPr>
            <w:tcW w:w="9350" w:type="dxa"/>
            <w:shd w:val="pct5" w:color="auto" w:fill="auto"/>
          </w:tcPr>
          <w:p w14:paraId="066BA674" w14:textId="77777777" w:rsidR="00AA2824" w:rsidRPr="00AA2824" w:rsidRDefault="00AA2824" w:rsidP="004C2707">
            <w:pPr>
              <w:widowControl w:val="0"/>
              <w:autoSpaceDE w:val="0"/>
              <w:autoSpaceDN w:val="0"/>
              <w:adjustRightInd w:val="0"/>
              <w:rPr>
                <w:rFonts w:cs="Consolas"/>
                <w:b/>
                <w:bCs/>
                <w:color w:val="262626"/>
                <w:sz w:val="26"/>
                <w:szCs w:val="26"/>
              </w:rPr>
            </w:pPr>
          </w:p>
        </w:tc>
      </w:tr>
    </w:tbl>
    <w:p w14:paraId="4A1E17C0" w14:textId="30655858" w:rsidR="00AA2824" w:rsidRDefault="00AA2824" w:rsidP="00AA2824">
      <w:pPr>
        <w:spacing w:before="120"/>
        <w:ind w:left="720"/>
        <w:rPr>
          <w:sz w:val="26"/>
          <w:szCs w:val="22"/>
        </w:rPr>
      </w:pPr>
      <w:r>
        <w:rPr>
          <w:sz w:val="26"/>
          <w:szCs w:val="22"/>
        </w:rPr>
        <w:t xml:space="preserve">Here properties correspond to instance variables. In terms of “required” each LogicalRecordLayout has </w:t>
      </w:r>
      <w:r w:rsidR="003C3D21">
        <w:rPr>
          <w:sz w:val="26"/>
          <w:szCs w:val="22"/>
        </w:rPr>
        <w:t>a PhysicalLayout which describes the format of the schema. And the PhysicalLayout contains for each instance variable its physical description which includes “required”.</w:t>
      </w:r>
    </w:p>
    <w:p w14:paraId="322A2446" w14:textId="3ABFE77F" w:rsidR="009B23B3" w:rsidRDefault="003C3D21" w:rsidP="00EB4C8A">
      <w:pPr>
        <w:spacing w:before="120"/>
        <w:ind w:left="720"/>
        <w:rPr>
          <w:sz w:val="26"/>
          <w:szCs w:val="22"/>
        </w:rPr>
      </w:pPr>
      <w:r>
        <w:rPr>
          <w:sz w:val="26"/>
          <w:szCs w:val="22"/>
        </w:rPr>
        <w:t>Note that a DataRecord can have many LogicalRecordLayouts</w:t>
      </w:r>
      <w:r w:rsidR="00824AB4">
        <w:rPr>
          <w:sz w:val="26"/>
          <w:szCs w:val="22"/>
        </w:rPr>
        <w:t xml:space="preserve"> and as such the LogicalRecordLayout</w:t>
      </w:r>
      <w:r w:rsidR="006104BD">
        <w:rPr>
          <w:sz w:val="26"/>
          <w:szCs w:val="22"/>
        </w:rPr>
        <w:t xml:space="preserve"> is specified as</w:t>
      </w:r>
      <w:r w:rsidR="00824AB4">
        <w:rPr>
          <w:sz w:val="26"/>
          <w:szCs w:val="22"/>
        </w:rPr>
        <w:t xml:space="preserve"> a Collection.</w:t>
      </w:r>
      <w:r w:rsidR="006104BD">
        <w:rPr>
          <w:sz w:val="26"/>
          <w:szCs w:val="22"/>
        </w:rPr>
        <w:t xml:space="preserve"> A Collection in turn considers MemberCorrespondence, so we can weigh pairwise the correspondence between different schema representations like JSON and RDF. See </w:t>
      </w:r>
      <w:hyperlink r:id="rId23" w:history="1">
        <w:r w:rsidR="006104BD" w:rsidRPr="006104BD">
          <w:rPr>
            <w:rStyle w:val="Hyperlink"/>
            <w:sz w:val="26"/>
            <w:szCs w:val="22"/>
          </w:rPr>
          <w:t>Can JSON and RDF be friends?</w:t>
        </w:r>
      </w:hyperlink>
      <w:r w:rsidR="006104BD">
        <w:rPr>
          <w:sz w:val="26"/>
          <w:szCs w:val="22"/>
        </w:rPr>
        <w:t xml:space="preserve"> Using this article we might describe the CorrespondenceType between</w:t>
      </w:r>
      <w:r w:rsidR="008567E2">
        <w:rPr>
          <w:sz w:val="26"/>
          <w:szCs w:val="22"/>
        </w:rPr>
        <w:t xml:space="preserve"> the two schema representations</w:t>
      </w:r>
      <w:r w:rsidR="009B23B3">
        <w:rPr>
          <w:sz w:val="26"/>
          <w:szCs w:val="22"/>
        </w:rPr>
        <w:t>:</w:t>
      </w:r>
      <w:r w:rsidR="00EB4C8A">
        <w:rPr>
          <w:sz w:val="26"/>
          <w:szCs w:val="22"/>
        </w:rPr>
        <w:br/>
      </w:r>
    </w:p>
    <w:tbl>
      <w:tblPr>
        <w:tblStyle w:val="TableGrid"/>
        <w:tblW w:w="8296" w:type="dxa"/>
        <w:tblInd w:w="720" w:type="dxa"/>
        <w:tblLook w:val="04A0" w:firstRow="1" w:lastRow="0" w:firstColumn="1" w:lastColumn="0" w:noHBand="0" w:noVBand="1"/>
      </w:tblPr>
      <w:tblGrid>
        <w:gridCol w:w="8296"/>
      </w:tblGrid>
      <w:tr w:rsidR="009B23B3" w14:paraId="6D3C021E" w14:textId="77777777" w:rsidTr="009B23B3">
        <w:tc>
          <w:tcPr>
            <w:tcW w:w="8296" w:type="dxa"/>
          </w:tcPr>
          <w:p w14:paraId="657FA724" w14:textId="705114C6" w:rsidR="009B23B3" w:rsidRDefault="009B23B3" w:rsidP="00AA2824">
            <w:pPr>
              <w:spacing w:before="120"/>
              <w:rPr>
                <w:sz w:val="26"/>
                <w:szCs w:val="22"/>
              </w:rPr>
            </w:pPr>
            <w:r w:rsidRPr="009B23B3">
              <w:rPr>
                <w:noProof/>
                <w:sz w:val="26"/>
                <w:szCs w:val="22"/>
              </w:rPr>
              <w:drawing>
                <wp:inline distT="0" distB="0" distL="0" distR="0" wp14:anchorId="7196DC80" wp14:editId="6042C0BB">
                  <wp:extent cx="5127202" cy="2861592"/>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4577" cy="2876871"/>
                          </a:xfrm>
                          <a:prstGeom prst="rect">
                            <a:avLst/>
                          </a:prstGeom>
                        </pic:spPr>
                      </pic:pic>
                    </a:graphicData>
                  </a:graphic>
                </wp:inline>
              </w:drawing>
            </w:r>
          </w:p>
        </w:tc>
      </w:tr>
    </w:tbl>
    <w:p w14:paraId="228E84AD" w14:textId="77777777" w:rsidR="00663149" w:rsidRDefault="00663149" w:rsidP="00663149"/>
    <w:p w14:paraId="50849DEA" w14:textId="78C9ACEE" w:rsidR="00663149" w:rsidRDefault="000B26E1" w:rsidP="00663149">
      <w:pPr>
        <w:rPr>
          <w:rFonts w:cs="Helvetica"/>
          <w:i/>
          <w:color w:val="262626"/>
        </w:rPr>
      </w:pPr>
      <w:r w:rsidRPr="0086641E">
        <w:rPr>
          <w:b/>
        </w:rPr>
        <w:t>Thunk</w:t>
      </w:r>
      <w:r>
        <w:t xml:space="preserve">: </w:t>
      </w:r>
      <w:r w:rsidRPr="00996CE3">
        <w:rPr>
          <w:rFonts w:cs="Helvetica"/>
          <w:i/>
          <w:color w:val="262626"/>
        </w:rPr>
        <w:t>What is it that makes a bunch of key-valu</w:t>
      </w:r>
      <w:r w:rsidR="0084409E">
        <w:rPr>
          <w:rFonts w:cs="Helvetica"/>
          <w:i/>
          <w:color w:val="262626"/>
        </w:rPr>
        <w:t>e pairs appear so different from</w:t>
      </w:r>
      <w:r w:rsidRPr="00996CE3">
        <w:rPr>
          <w:rFonts w:cs="Helvetica"/>
          <w:i/>
          <w:color w:val="262626"/>
        </w:rPr>
        <w:t xml:space="preserve"> a set of triples? Add the subject to key-value pairs and you get triples. Or vice-versa — group the triples around the common subject and you get the key-value pairs. Well, in practice, it’s a bit more complicated</w:t>
      </w:r>
      <w:r w:rsidR="003C20CB">
        <w:rPr>
          <w:rFonts w:cs="Helvetica"/>
          <w:i/>
          <w:color w:val="262626"/>
        </w:rPr>
        <w:t>…</w:t>
      </w:r>
      <w:r w:rsidR="00AE64EF">
        <w:rPr>
          <w:rFonts w:cs="Helvetica"/>
          <w:i/>
          <w:color w:val="262626"/>
        </w:rPr>
        <w:t xml:space="preserve"> </w:t>
      </w:r>
      <w:r w:rsidR="00AE64EF">
        <w:rPr>
          <w:rFonts w:cs="Helvetica"/>
          <w:color w:val="262626"/>
        </w:rPr>
        <w:t>[</w:t>
      </w:r>
      <w:r w:rsidR="00AE64EF" w:rsidRPr="00AE64EF">
        <w:rPr>
          <w:rFonts w:cs="Helvetica"/>
          <w:color w:val="262626"/>
        </w:rPr>
        <w:t xml:space="preserve">from </w:t>
      </w:r>
      <w:hyperlink r:id="rId25" w:history="1">
        <w:r w:rsidR="00AE64EF" w:rsidRPr="0084409E">
          <w:rPr>
            <w:rStyle w:val="Hyperlink"/>
            <w:rFonts w:cs="Helvetica"/>
          </w:rPr>
          <w:t>Can JSON and RDF be friends?]</w:t>
        </w:r>
      </w:hyperlink>
    </w:p>
    <w:p w14:paraId="0301D456" w14:textId="77777777" w:rsidR="00996CE3" w:rsidRDefault="00996CE3" w:rsidP="00663149">
      <w:pPr>
        <w:rPr>
          <w:rFonts w:cs="Helvetica"/>
          <w:i/>
          <w:color w:val="262626"/>
        </w:rPr>
      </w:pPr>
    </w:p>
    <w:p w14:paraId="783B9851" w14:textId="45D87F95" w:rsidR="00996CE3" w:rsidRDefault="00EC6185" w:rsidP="00663149">
      <w:pPr>
        <w:rPr>
          <w:rFonts w:cs="Helvetica"/>
          <w:i/>
          <w:color w:val="262626"/>
        </w:rPr>
      </w:pPr>
      <w:r w:rsidRPr="0086641E">
        <w:rPr>
          <w:rFonts w:cs="Helvetica"/>
          <w:b/>
          <w:color w:val="262626"/>
        </w:rPr>
        <w:t>Thunk</w:t>
      </w:r>
      <w:r w:rsidR="00AE64EF">
        <w:rPr>
          <w:rFonts w:cs="Helvetica"/>
          <w:b/>
          <w:color w:val="262626"/>
        </w:rPr>
        <w:t xml:space="preserve"> again</w:t>
      </w:r>
      <w:r>
        <w:rPr>
          <w:rFonts w:cs="Helvetica"/>
          <w:i/>
          <w:color w:val="262626"/>
        </w:rPr>
        <w:t xml:space="preserve">: The fact that a tree is a special type of graph doesn’t necessarily </w:t>
      </w:r>
      <w:r w:rsidR="004F57C1">
        <w:rPr>
          <w:rFonts w:cs="Helvetica"/>
          <w:i/>
          <w:color w:val="262626"/>
        </w:rPr>
        <w:t>help in losslessly translating between JSON and RDF</w:t>
      </w:r>
      <w:r w:rsidR="0037717F">
        <w:rPr>
          <w:rFonts w:cs="Helvetica"/>
          <w:i/>
          <w:color w:val="262626"/>
        </w:rPr>
        <w:t>. In both directions constraints are needed on the source before</w:t>
      </w:r>
      <w:r w:rsidR="00AE64EF">
        <w:rPr>
          <w:rFonts w:cs="Helvetica"/>
          <w:i/>
          <w:color w:val="262626"/>
        </w:rPr>
        <w:t xml:space="preserve"> we can translate to the target </w:t>
      </w:r>
      <w:r w:rsidR="00AE64EF" w:rsidRPr="00AE64EF">
        <w:rPr>
          <w:rFonts w:cs="Helvetica"/>
          <w:color w:val="262626"/>
        </w:rPr>
        <w:t xml:space="preserve">[sounds </w:t>
      </w:r>
      <w:r w:rsidR="00596C1B">
        <w:rPr>
          <w:rFonts w:cs="Helvetica"/>
          <w:color w:val="262626"/>
        </w:rPr>
        <w:t>responsible</w:t>
      </w:r>
      <w:r w:rsidR="00AE64EF" w:rsidRPr="00AE64EF">
        <w:rPr>
          <w:rFonts w:cs="Helvetica"/>
          <w:color w:val="262626"/>
        </w:rPr>
        <w:t>]</w:t>
      </w:r>
    </w:p>
    <w:p w14:paraId="06F5BE4D" w14:textId="77777777" w:rsidR="0028001A" w:rsidRDefault="0028001A" w:rsidP="00663149">
      <w:pPr>
        <w:rPr>
          <w:rFonts w:cs="Helvetica"/>
          <w:i/>
          <w:color w:val="262626"/>
        </w:rPr>
      </w:pPr>
    </w:p>
    <w:p w14:paraId="1C92489F" w14:textId="3091B613" w:rsidR="0028001A" w:rsidRPr="00DC613D" w:rsidRDefault="0028001A" w:rsidP="00663149">
      <w:pPr>
        <w:rPr>
          <w:i/>
        </w:rPr>
      </w:pPr>
      <w:r w:rsidRPr="0086641E">
        <w:rPr>
          <w:rFonts w:cs="Helvetica"/>
          <w:b/>
          <w:color w:val="262626"/>
        </w:rPr>
        <w:t>Thunk</w:t>
      </w:r>
      <w:r w:rsidR="00AE64EF">
        <w:rPr>
          <w:rFonts w:cs="Helvetica"/>
          <w:b/>
          <w:color w:val="262626"/>
        </w:rPr>
        <w:t xml:space="preserve"> at last</w:t>
      </w:r>
      <w:r w:rsidR="0093516B">
        <w:rPr>
          <w:rFonts w:cs="Helvetica"/>
          <w:i/>
          <w:color w:val="262626"/>
        </w:rPr>
        <w:t xml:space="preserve">: </w:t>
      </w:r>
      <w:r w:rsidR="0093516B" w:rsidRPr="00DC613D">
        <w:rPr>
          <w:rFonts w:cs="Helvetica"/>
          <w:i/>
          <w:color w:val="262626"/>
        </w:rPr>
        <w:t>The Elementary</w:t>
      </w:r>
      <w:r w:rsidR="00FD76F0" w:rsidRPr="00DC613D">
        <w:rPr>
          <w:rFonts w:cs="Helvetica"/>
          <w:i/>
          <w:color w:val="262626"/>
        </w:rPr>
        <w:t xml:space="preserve"> view</w:t>
      </w:r>
      <w:r w:rsidR="0093516B" w:rsidRPr="00DC613D">
        <w:rPr>
          <w:rFonts w:cs="Helvetica"/>
          <w:i/>
          <w:color w:val="262626"/>
        </w:rPr>
        <w:t xml:space="preserve"> can be used to model</w:t>
      </w:r>
      <w:r w:rsidR="00F217DA" w:rsidRPr="00DC613D">
        <w:rPr>
          <w:rFonts w:cs="Helvetica"/>
          <w:i/>
          <w:color w:val="262626"/>
        </w:rPr>
        <w:t xml:space="preserve"> JSON</w:t>
      </w:r>
      <w:r w:rsidR="00FD76F0" w:rsidRPr="00DC613D">
        <w:rPr>
          <w:rFonts w:cs="Helvetica"/>
          <w:i/>
          <w:color w:val="262626"/>
        </w:rPr>
        <w:t xml:space="preserve"> without qualification</w:t>
      </w:r>
      <w:r w:rsidR="00AE64EF" w:rsidRPr="00DC613D">
        <w:rPr>
          <w:rFonts w:cs="Helvetica"/>
          <w:i/>
          <w:color w:val="262626"/>
        </w:rPr>
        <w:t xml:space="preserve"> [an unproven claim]</w:t>
      </w:r>
      <w:r w:rsidR="00FD76F0" w:rsidRPr="00DC613D">
        <w:rPr>
          <w:rFonts w:cs="Helvetica"/>
          <w:i/>
          <w:color w:val="262626"/>
        </w:rPr>
        <w:t xml:space="preserve"> </w:t>
      </w:r>
      <w:r w:rsidR="00CA00A5" w:rsidRPr="00DC613D">
        <w:rPr>
          <w:rFonts w:cs="Helvetica"/>
          <w:i/>
          <w:color w:val="262626"/>
        </w:rPr>
        <w:t xml:space="preserve">but this is not the case with RDF. With RDF the Elementary view is only able to model </w:t>
      </w:r>
      <w:r w:rsidR="00664556" w:rsidRPr="00DC613D">
        <w:rPr>
          <w:rFonts w:cs="Helvetica"/>
          <w:i/>
          <w:color w:val="262626"/>
        </w:rPr>
        <w:t>one of its dialects.</w:t>
      </w:r>
    </w:p>
    <w:p w14:paraId="3AF46819" w14:textId="77777777" w:rsidR="000B26E1" w:rsidRDefault="000B26E1" w:rsidP="00663149"/>
    <w:p w14:paraId="108DB22C" w14:textId="6B130CF4" w:rsidR="00000E0F" w:rsidRDefault="00896E4E" w:rsidP="00000E0F">
      <w:pPr>
        <w:pStyle w:val="Heading1"/>
        <w:spacing w:after="60"/>
      </w:pPr>
      <w:r>
        <w:t>The openEHR Use Case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000E0F" w14:paraId="6DEDF3EB" w14:textId="77777777" w:rsidTr="00000E0F">
        <w:tc>
          <w:tcPr>
            <w:tcW w:w="9350" w:type="dxa"/>
            <w:shd w:val="pct5" w:color="auto" w:fill="auto"/>
          </w:tcPr>
          <w:p w14:paraId="220593EA" w14:textId="77777777" w:rsidR="00AE64EF" w:rsidRDefault="00000E0F" w:rsidP="00AE64EF">
            <w:pPr>
              <w:keepNext/>
            </w:pPr>
            <w:r>
              <w:rPr>
                <w:noProof/>
              </w:rPr>
              <w:drawing>
                <wp:inline distT="0" distB="0" distL="0" distR="0" wp14:anchorId="01F930D7" wp14:editId="36E14324">
                  <wp:extent cx="5841477" cy="496400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tamodel - Non-tabular Data 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408" cy="4969897"/>
                          </a:xfrm>
                          <a:prstGeom prst="rect">
                            <a:avLst/>
                          </a:prstGeom>
                        </pic:spPr>
                      </pic:pic>
                    </a:graphicData>
                  </a:graphic>
                </wp:inline>
              </w:drawing>
            </w:r>
          </w:p>
          <w:p w14:paraId="23D643A6" w14:textId="37E760DC" w:rsidR="00000E0F" w:rsidRDefault="00AE64EF" w:rsidP="00AE64EF">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6</w:t>
            </w:r>
            <w:r w:rsidR="00F35C85">
              <w:rPr>
                <w:noProof/>
              </w:rPr>
              <w:fldChar w:fldCharType="end"/>
            </w:r>
            <w:r>
              <w:t>: The openEHR View</w:t>
            </w:r>
          </w:p>
        </w:tc>
      </w:tr>
    </w:tbl>
    <w:p w14:paraId="0A07100D" w14:textId="77777777" w:rsidR="00000E0F" w:rsidRPr="00000E0F" w:rsidRDefault="00000E0F" w:rsidP="00000E0F"/>
    <w:p w14:paraId="75AAC378" w14:textId="616420E5" w:rsidR="00014CFE" w:rsidRDefault="00C620AD" w:rsidP="00F55578">
      <w:pPr>
        <w:pStyle w:val="ListParagraph"/>
        <w:numPr>
          <w:ilvl w:val="0"/>
          <w:numId w:val="19"/>
        </w:numPr>
        <w:spacing w:before="120"/>
        <w:rPr>
          <w:sz w:val="26"/>
          <w:szCs w:val="22"/>
        </w:rPr>
      </w:pPr>
      <w:r>
        <w:rPr>
          <w:sz w:val="26"/>
          <w:szCs w:val="22"/>
        </w:rPr>
        <w:t>A Viewpoint groups the instance variables</w:t>
      </w:r>
      <w:r w:rsidR="00D01E43">
        <w:rPr>
          <w:sz w:val="26"/>
          <w:szCs w:val="22"/>
        </w:rPr>
        <w:t xml:space="preserve"> defined</w:t>
      </w:r>
      <w:r>
        <w:rPr>
          <w:sz w:val="26"/>
          <w:szCs w:val="22"/>
        </w:rPr>
        <w:t xml:space="preserve"> in a schema by </w:t>
      </w:r>
      <w:r w:rsidR="00D01E43">
        <w:rPr>
          <w:sz w:val="26"/>
          <w:szCs w:val="22"/>
        </w:rPr>
        <w:t>role. Viewpoints have been introduce</w:t>
      </w:r>
      <w:r w:rsidR="00437E59">
        <w:rPr>
          <w:sz w:val="26"/>
          <w:szCs w:val="22"/>
        </w:rPr>
        <w:t>d bec</w:t>
      </w:r>
      <w:r w:rsidR="009F6919">
        <w:rPr>
          <w:sz w:val="26"/>
          <w:szCs w:val="22"/>
        </w:rPr>
        <w:t>ause Observation is complicated</w:t>
      </w:r>
      <w:r w:rsidR="00014CFE">
        <w:rPr>
          <w:sz w:val="26"/>
          <w:szCs w:val="22"/>
        </w:rPr>
        <w:t>:</w:t>
      </w:r>
    </w:p>
    <w:p w14:paraId="004E52B8" w14:textId="77777777" w:rsidR="00014CFE" w:rsidRDefault="00437E59" w:rsidP="00014CFE">
      <w:pPr>
        <w:pStyle w:val="ListParagraph"/>
        <w:numPr>
          <w:ilvl w:val="1"/>
          <w:numId w:val="1"/>
        </w:numPr>
        <w:spacing w:before="120"/>
        <w:rPr>
          <w:sz w:val="26"/>
          <w:szCs w:val="22"/>
        </w:rPr>
      </w:pPr>
      <w:r>
        <w:rPr>
          <w:sz w:val="26"/>
          <w:szCs w:val="22"/>
        </w:rPr>
        <w:t>Observation</w:t>
      </w:r>
      <w:r w:rsidR="00D01E43">
        <w:rPr>
          <w:sz w:val="26"/>
          <w:szCs w:val="22"/>
        </w:rPr>
        <w:t xml:space="preserve"> yields multiple datum (data), each of which is bounded by an instance variable. </w:t>
      </w:r>
    </w:p>
    <w:p w14:paraId="3306F5DE" w14:textId="77777777" w:rsidR="00014CFE" w:rsidRDefault="002A2B36" w:rsidP="00014CFE">
      <w:pPr>
        <w:pStyle w:val="ListParagraph"/>
        <w:numPr>
          <w:ilvl w:val="1"/>
          <w:numId w:val="1"/>
        </w:numPr>
        <w:spacing w:before="120"/>
        <w:rPr>
          <w:sz w:val="26"/>
          <w:szCs w:val="22"/>
        </w:rPr>
      </w:pPr>
      <w:r>
        <w:rPr>
          <w:sz w:val="26"/>
          <w:szCs w:val="22"/>
        </w:rPr>
        <w:t>Some of the instance variables go</w:t>
      </w:r>
      <w:r w:rsidR="009F6919">
        <w:rPr>
          <w:sz w:val="26"/>
          <w:szCs w:val="22"/>
        </w:rPr>
        <w:t xml:space="preserve"> to “who”: </w:t>
      </w:r>
      <w:r>
        <w:rPr>
          <w:sz w:val="26"/>
          <w:szCs w:val="22"/>
        </w:rPr>
        <w:t xml:space="preserve">the identity of a subject. </w:t>
      </w:r>
    </w:p>
    <w:p w14:paraId="4E5BD63C" w14:textId="77777777" w:rsidR="00014CFE" w:rsidRDefault="00437E59" w:rsidP="00014CFE">
      <w:pPr>
        <w:pStyle w:val="ListParagraph"/>
        <w:numPr>
          <w:ilvl w:val="1"/>
          <w:numId w:val="1"/>
        </w:numPr>
        <w:spacing w:before="120"/>
        <w:rPr>
          <w:sz w:val="26"/>
          <w:szCs w:val="22"/>
        </w:rPr>
      </w:pPr>
      <w:r>
        <w:rPr>
          <w:sz w:val="26"/>
          <w:szCs w:val="22"/>
        </w:rPr>
        <w:t>Some of th</w:t>
      </w:r>
      <w:r w:rsidR="002A2B36">
        <w:rPr>
          <w:sz w:val="26"/>
          <w:szCs w:val="22"/>
        </w:rPr>
        <w:t>e instance variables</w:t>
      </w:r>
      <w:r w:rsidR="009F6919">
        <w:rPr>
          <w:sz w:val="26"/>
          <w:szCs w:val="22"/>
        </w:rPr>
        <w:t xml:space="preserve"> go to “what” was observed: they are the measurements.</w:t>
      </w:r>
      <w:r>
        <w:rPr>
          <w:sz w:val="26"/>
          <w:szCs w:val="22"/>
        </w:rPr>
        <w:t xml:space="preserve"> </w:t>
      </w:r>
    </w:p>
    <w:p w14:paraId="61553F81" w14:textId="34368946" w:rsidR="0008456A" w:rsidRDefault="00437E59" w:rsidP="00014CFE">
      <w:pPr>
        <w:pStyle w:val="ListParagraph"/>
        <w:numPr>
          <w:ilvl w:val="1"/>
          <w:numId w:val="1"/>
        </w:numPr>
        <w:spacing w:before="120"/>
        <w:rPr>
          <w:sz w:val="26"/>
          <w:szCs w:val="22"/>
        </w:rPr>
      </w:pPr>
      <w:r>
        <w:rPr>
          <w:sz w:val="26"/>
          <w:szCs w:val="22"/>
        </w:rPr>
        <w:t xml:space="preserve">And some of the </w:t>
      </w:r>
      <w:r w:rsidR="002A2B36">
        <w:rPr>
          <w:sz w:val="26"/>
          <w:szCs w:val="22"/>
        </w:rPr>
        <w:t>instance variables</w:t>
      </w:r>
      <w:r w:rsidR="00DA57FF">
        <w:rPr>
          <w:sz w:val="26"/>
          <w:szCs w:val="22"/>
        </w:rPr>
        <w:t xml:space="preserve"> </w:t>
      </w:r>
      <w:r w:rsidR="009F6919">
        <w:rPr>
          <w:sz w:val="26"/>
          <w:szCs w:val="22"/>
        </w:rPr>
        <w:t>go to “how”, “when” and “where”: they are the context that qualifies the measurement(s)</w:t>
      </w:r>
      <w:r w:rsidR="00853B41">
        <w:rPr>
          <w:sz w:val="26"/>
          <w:szCs w:val="22"/>
        </w:rPr>
        <w:t>.</w:t>
      </w:r>
    </w:p>
    <w:p w14:paraId="594ECE53" w14:textId="163DF810" w:rsidR="00014CFE" w:rsidRDefault="00C72AF7" w:rsidP="00A707F4">
      <w:pPr>
        <w:pStyle w:val="ListParagraph"/>
        <w:numPr>
          <w:ilvl w:val="1"/>
          <w:numId w:val="1"/>
        </w:numPr>
        <w:spacing w:before="120"/>
        <w:rPr>
          <w:sz w:val="26"/>
          <w:szCs w:val="22"/>
        </w:rPr>
      </w:pPr>
      <w:r w:rsidRPr="00C72AF7">
        <w:rPr>
          <w:sz w:val="26"/>
          <w:szCs w:val="22"/>
        </w:rPr>
        <w:t>openEHR does something comparable with the schema it has defined for health observations</w:t>
      </w:r>
    </w:p>
    <w:p w14:paraId="406801EE" w14:textId="0D4695E7" w:rsidR="00296F47" w:rsidRDefault="00296F47" w:rsidP="0016557D">
      <w:pPr>
        <w:pStyle w:val="ListParagraph"/>
        <w:numPr>
          <w:ilvl w:val="1"/>
          <w:numId w:val="1"/>
        </w:numPr>
        <w:spacing w:before="120"/>
        <w:rPr>
          <w:sz w:val="26"/>
          <w:szCs w:val="22"/>
        </w:rPr>
      </w:pPr>
      <w:r>
        <w:rPr>
          <w:sz w:val="26"/>
          <w:szCs w:val="22"/>
        </w:rPr>
        <w:t>In its Observation class, openEHR groups attributes into four parts:</w:t>
      </w:r>
    </w:p>
    <w:p w14:paraId="40B57E4F"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DATA part which contains the core information e.g. the systolic and diastolic pressures when measuring a blood pressure.</w:t>
      </w:r>
    </w:p>
    <w:p w14:paraId="0DBB745E"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STATE part which contains information about the subject of data at the time the information was collected, and this information is required for safe clinical interpretation of the core information. An example is the position of the patient at the time of measuring a blood pressure.</w:t>
      </w:r>
    </w:p>
    <w:p w14:paraId="0A967FB9" w14:textId="77777777" w:rsidR="002C6FC9"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PROTOCOL part which contains information on how the information was gathered or measured, and any other information that is not required for safe clinical interpretation of the core information. By default, this information will not be displayed in the primary view of the EHR.</w:t>
      </w:r>
    </w:p>
    <w:p w14:paraId="41C3BD6B" w14:textId="70CAEC64" w:rsid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C6FC9">
        <w:rPr>
          <w:rFonts w:cs="Arial"/>
          <w:color w:val="262626"/>
          <w:sz w:val="26"/>
          <w:szCs w:val="26"/>
        </w:rPr>
        <w:t>a HISTORY part which contains information about the timing of the observation and the 'width' of the information.</w:t>
      </w:r>
      <w:r w:rsidR="00161865">
        <w:rPr>
          <w:rFonts w:cs="Arial"/>
          <w:color w:val="262626"/>
          <w:sz w:val="26"/>
          <w:szCs w:val="26"/>
        </w:rPr>
        <w:br/>
      </w:r>
    </w:p>
    <w:tbl>
      <w:tblPr>
        <w:tblStyle w:val="TableGrid"/>
        <w:tblW w:w="0" w:type="auto"/>
        <w:tblInd w:w="720" w:type="dxa"/>
        <w:tblLook w:val="04A0" w:firstRow="1" w:lastRow="0" w:firstColumn="1" w:lastColumn="0" w:noHBand="0" w:noVBand="1"/>
      </w:tblPr>
      <w:tblGrid>
        <w:gridCol w:w="8630"/>
      </w:tblGrid>
      <w:tr w:rsidR="00161865" w14:paraId="7F5B68A8" w14:textId="77777777" w:rsidTr="00161865">
        <w:tc>
          <w:tcPr>
            <w:tcW w:w="8275" w:type="dxa"/>
          </w:tcPr>
          <w:p w14:paraId="30928094" w14:textId="54B1B0BF" w:rsidR="00161865" w:rsidRDefault="00161865" w:rsidP="00161865">
            <w:pPr>
              <w:widowControl w:val="0"/>
              <w:tabs>
                <w:tab w:val="left" w:pos="220"/>
                <w:tab w:val="left" w:pos="720"/>
              </w:tabs>
              <w:autoSpaceDE w:val="0"/>
              <w:autoSpaceDN w:val="0"/>
              <w:adjustRightInd w:val="0"/>
              <w:spacing w:before="60"/>
              <w:ind w:right="-15"/>
              <w:rPr>
                <w:rFonts w:cs="Arial"/>
                <w:color w:val="262626"/>
                <w:sz w:val="26"/>
                <w:szCs w:val="26"/>
              </w:rPr>
            </w:pPr>
            <w:r w:rsidRPr="00161865">
              <w:rPr>
                <w:rFonts w:cs="Arial"/>
                <w:noProof/>
                <w:color w:val="262626"/>
                <w:sz w:val="26"/>
                <w:szCs w:val="26"/>
              </w:rPr>
              <w:drawing>
                <wp:inline distT="0" distB="0" distL="0" distR="0" wp14:anchorId="3FD6634F" wp14:editId="22EC0D4B">
                  <wp:extent cx="5355802" cy="296629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9048" cy="2979165"/>
                          </a:xfrm>
                          <a:prstGeom prst="rect">
                            <a:avLst/>
                          </a:prstGeom>
                        </pic:spPr>
                      </pic:pic>
                    </a:graphicData>
                  </a:graphic>
                </wp:inline>
              </w:drawing>
            </w:r>
          </w:p>
        </w:tc>
      </w:tr>
    </w:tbl>
    <w:p w14:paraId="7113B295" w14:textId="016B227E" w:rsidR="00293F3D" w:rsidRDefault="00293F3D" w:rsidP="00A707F4">
      <w:pPr>
        <w:pStyle w:val="ListParagraph"/>
        <w:numPr>
          <w:ilvl w:val="0"/>
          <w:numId w:val="11"/>
        </w:numPr>
        <w:spacing w:before="240"/>
        <w:rPr>
          <w:sz w:val="26"/>
          <w:szCs w:val="22"/>
        </w:rPr>
      </w:pPr>
      <w:r w:rsidRPr="00A707F4">
        <w:rPr>
          <w:sz w:val="26"/>
          <w:szCs w:val="22"/>
        </w:rPr>
        <w:t xml:space="preserve">Using the Viewpoint, DDI4 can, for the most part, partition the LogicalRecordLayout and define health observation schemata that are equivalent to the ones that openEHR builds using </w:t>
      </w:r>
      <w:hyperlink r:id="rId28" w:history="1">
        <w:r w:rsidRPr="00A707F4">
          <w:rPr>
            <w:rStyle w:val="Hyperlink"/>
            <w:sz w:val="26"/>
            <w:szCs w:val="22"/>
          </w:rPr>
          <w:t>ADL</w:t>
        </w:r>
      </w:hyperlink>
      <w:r w:rsidRPr="00A707F4">
        <w:rPr>
          <w:sz w:val="26"/>
          <w:szCs w:val="22"/>
        </w:rPr>
        <w:t xml:space="preserve"> (Archetype Definition Language)</w:t>
      </w:r>
    </w:p>
    <w:p w14:paraId="0616DCAC" w14:textId="77777777" w:rsidR="00A707F4" w:rsidRPr="00A707F4" w:rsidRDefault="00A707F4" w:rsidP="00A707F4">
      <w:pPr>
        <w:spacing w:before="240"/>
        <w:rPr>
          <w:sz w:val="26"/>
          <w:szCs w:val="22"/>
        </w:rPr>
      </w:pPr>
    </w:p>
    <w:p w14:paraId="0DA00EEE" w14:textId="77777777" w:rsidR="00293F3D" w:rsidRDefault="00293F3D" w:rsidP="00293F3D">
      <w:pPr>
        <w:spacing w:before="120"/>
        <w:rPr>
          <w:sz w:val="26"/>
          <w:szCs w:val="22"/>
        </w:rPr>
      </w:pPr>
    </w:p>
    <w:p w14:paraId="2E8C63C6" w14:textId="5ADC641E" w:rsidR="0048676C" w:rsidRDefault="0048676C" w:rsidP="0048676C">
      <w:pPr>
        <w:pStyle w:val="Heading1"/>
      </w:pPr>
      <w:r>
        <w:t>The FHIR Use Case</w:t>
      </w:r>
    </w:p>
    <w:p w14:paraId="2E9E630E" w14:textId="5C96F89F" w:rsidR="00CD34AA" w:rsidRPr="0048676C" w:rsidRDefault="00A707F4" w:rsidP="0048676C">
      <w:pPr>
        <w:spacing w:before="120"/>
        <w:rPr>
          <w:sz w:val="26"/>
          <w:szCs w:val="22"/>
        </w:rPr>
      </w:pPr>
      <w:r w:rsidRPr="0048676C">
        <w:rPr>
          <w:sz w:val="26"/>
          <w:szCs w:val="22"/>
        </w:rPr>
        <w:t xml:space="preserve">FHIR </w:t>
      </w:r>
      <w:r w:rsidR="006D3C24" w:rsidRPr="0048676C">
        <w:rPr>
          <w:sz w:val="26"/>
          <w:szCs w:val="22"/>
        </w:rPr>
        <w:t>consists of resources that are typically combined.</w:t>
      </w:r>
      <w:r w:rsidRPr="0048676C">
        <w:rPr>
          <w:sz w:val="26"/>
          <w:szCs w:val="22"/>
        </w:rPr>
        <w:t xml:space="preserve"> </w:t>
      </w:r>
    </w:p>
    <w:p w14:paraId="1BF330E9" w14:textId="21879C89" w:rsidR="006D3C24" w:rsidRDefault="006D3C24" w:rsidP="006D3C24">
      <w:pPr>
        <w:spacing w:before="120"/>
        <w:ind w:left="360"/>
        <w:rPr>
          <w:rFonts w:cs="Verdana"/>
          <w:i/>
          <w:color w:val="262626"/>
        </w:rPr>
      </w:pPr>
      <w:r w:rsidRPr="00AB2923">
        <w:rPr>
          <w:rFonts w:cs="Verdana"/>
          <w:i/>
          <w:color w:val="262626"/>
        </w:rPr>
        <w:t xml:space="preserve">FHIR modeling uses a composition approach. In comparison, </w:t>
      </w:r>
      <w:hyperlink r:id="rId29" w:history="1">
        <w:r w:rsidRPr="00AB2923">
          <w:rPr>
            <w:rFonts w:cs="Verdana"/>
            <w:i/>
            <w:color w:val="3576BE"/>
          </w:rPr>
          <w:t xml:space="preserve">HL7 v3 </w:t>
        </w:r>
        <w:r w:rsidRPr="00AB2923">
          <w:rPr>
            <w:rFonts w:cs="Verdana"/>
            <w:i/>
            <w:noProof/>
            <w:color w:val="3576BE"/>
          </w:rPr>
          <w:drawing>
            <wp:inline distT="0" distB="0" distL="0" distR="0" wp14:anchorId="6A8D025E" wp14:editId="3EA0BEBE">
              <wp:extent cx="127000" cy="12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hyperlink>
      <w:r w:rsidRPr="00AB2923">
        <w:rPr>
          <w:rFonts w:cs="Verdana"/>
          <w:i/>
          <w:color w:val="262626"/>
        </w:rPr>
        <w:t xml:space="preserve"> modeling is based on "model by constraint" (see </w:t>
      </w:r>
      <w:hyperlink r:id="rId31" w:history="1">
        <w:r w:rsidRPr="00AB2923">
          <w:rPr>
            <w:rFonts w:cs="Verdana"/>
            <w:i/>
            <w:color w:val="3576BE"/>
          </w:rPr>
          <w:t>Comparing FHIR to other HL7 standards</w:t>
        </w:r>
      </w:hyperlink>
      <w:r w:rsidRPr="00AB2923">
        <w:rPr>
          <w:rFonts w:cs="Verdana"/>
          <w:i/>
          <w:color w:val="262626"/>
        </w:rPr>
        <w:t xml:space="preserve">). With FHIR, specific use cases are usually implemented by combining resources together through the use of </w:t>
      </w:r>
      <w:hyperlink r:id="rId32" w:history="1">
        <w:r w:rsidRPr="00AB2923">
          <w:rPr>
            <w:rFonts w:cs="Verdana"/>
            <w:i/>
            <w:color w:val="3576BE"/>
          </w:rPr>
          <w:t>resource references</w:t>
        </w:r>
      </w:hyperlink>
      <w:r w:rsidRPr="00AB2923">
        <w:rPr>
          <w:rFonts w:cs="Verdana"/>
          <w:i/>
          <w:color w:val="262626"/>
        </w:rPr>
        <w:t>. Although a single resource might be useful by itself for a given use case, it is more common that resources will be combined and tailored to meet use case specific requirement</w:t>
      </w:r>
    </w:p>
    <w:p w14:paraId="66A16971" w14:textId="2B607FCB" w:rsidR="0082349C" w:rsidRPr="0081368A" w:rsidRDefault="0037080C" w:rsidP="00E4765A">
      <w:pPr>
        <w:spacing w:before="120" w:after="60"/>
        <w:ind w:left="360"/>
        <w:rPr>
          <w:sz w:val="26"/>
          <w:szCs w:val="22"/>
        </w:rPr>
      </w:pPr>
      <w:r>
        <w:rPr>
          <w:rFonts w:cs="Verdana"/>
          <w:color w:val="262626"/>
        </w:rPr>
        <w:t>Consider the Composition resource:</w:t>
      </w:r>
    </w:p>
    <w:tbl>
      <w:tblPr>
        <w:tblStyle w:val="TableGrid"/>
        <w:tblW w:w="0" w:type="auto"/>
        <w:tblInd w:w="355" w:type="dxa"/>
        <w:tblLook w:val="04A0" w:firstRow="1" w:lastRow="0" w:firstColumn="1" w:lastColumn="0" w:noHBand="0" w:noVBand="1"/>
      </w:tblPr>
      <w:tblGrid>
        <w:gridCol w:w="8995"/>
      </w:tblGrid>
      <w:tr w:rsidR="009364EA" w14:paraId="440B3274" w14:textId="77777777" w:rsidTr="00E4765A">
        <w:tc>
          <w:tcPr>
            <w:tcW w:w="8995" w:type="dxa"/>
          </w:tcPr>
          <w:p w14:paraId="31A93962" w14:textId="54DF7BCD" w:rsidR="009364EA" w:rsidRDefault="0079389E" w:rsidP="0079389E">
            <w:pPr>
              <w:spacing w:before="120"/>
              <w:jc w:val="center"/>
              <w:rPr>
                <w:sz w:val="26"/>
                <w:szCs w:val="22"/>
              </w:rPr>
            </w:pPr>
            <w:r w:rsidRPr="0079389E">
              <w:rPr>
                <w:noProof/>
                <w:sz w:val="26"/>
                <w:szCs w:val="22"/>
              </w:rPr>
              <w:drawing>
                <wp:inline distT="0" distB="0" distL="0" distR="0" wp14:anchorId="1C9D5C37" wp14:editId="185F9CAC">
                  <wp:extent cx="5529368" cy="2787888"/>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217" cy="2843778"/>
                          </a:xfrm>
                          <a:prstGeom prst="rect">
                            <a:avLst/>
                          </a:prstGeom>
                        </pic:spPr>
                      </pic:pic>
                    </a:graphicData>
                  </a:graphic>
                </wp:inline>
              </w:drawing>
            </w:r>
          </w:p>
        </w:tc>
      </w:tr>
    </w:tbl>
    <w:p w14:paraId="30134E5D" w14:textId="57C86D39" w:rsidR="0081368A" w:rsidRDefault="0081368A" w:rsidP="0082349C">
      <w:pPr>
        <w:pStyle w:val="ListParagraph"/>
        <w:numPr>
          <w:ilvl w:val="0"/>
          <w:numId w:val="13"/>
        </w:numPr>
        <w:spacing w:before="120"/>
        <w:rPr>
          <w:sz w:val="26"/>
          <w:szCs w:val="22"/>
        </w:rPr>
      </w:pPr>
      <w:r>
        <w:rPr>
          <w:sz w:val="26"/>
          <w:szCs w:val="22"/>
        </w:rPr>
        <w:t xml:space="preserve">Note that the Composition resource consists of not one but several classes, that within each class there are </w:t>
      </w:r>
      <w:r w:rsidRPr="006E66CB">
        <w:rPr>
          <w:sz w:val="26"/>
          <w:szCs w:val="22"/>
          <w:highlight w:val="cyan"/>
        </w:rPr>
        <w:t>resource references</w:t>
      </w:r>
      <w:r>
        <w:rPr>
          <w:sz w:val="26"/>
          <w:szCs w:val="22"/>
        </w:rPr>
        <w:t xml:space="preserve"> and that some resource references</w:t>
      </w:r>
      <w:r w:rsidR="006E66CB">
        <w:rPr>
          <w:sz w:val="26"/>
          <w:szCs w:val="22"/>
        </w:rPr>
        <w:t xml:space="preserve"> (“Any”)</w:t>
      </w:r>
      <w:r>
        <w:rPr>
          <w:sz w:val="26"/>
          <w:szCs w:val="22"/>
        </w:rPr>
        <w:t xml:space="preserve"> are open-ended / untyped</w:t>
      </w:r>
    </w:p>
    <w:p w14:paraId="542658C8" w14:textId="1C3C1139" w:rsidR="00DB6BCD" w:rsidRDefault="0081368A" w:rsidP="0082349C">
      <w:pPr>
        <w:pStyle w:val="ListParagraph"/>
        <w:numPr>
          <w:ilvl w:val="0"/>
          <w:numId w:val="13"/>
        </w:numPr>
        <w:spacing w:before="120"/>
        <w:rPr>
          <w:sz w:val="26"/>
          <w:szCs w:val="22"/>
        </w:rPr>
      </w:pPr>
      <w:r>
        <w:rPr>
          <w:sz w:val="26"/>
          <w:szCs w:val="22"/>
        </w:rPr>
        <w:t>DDI may be able to account for much of this “architecture”</w:t>
      </w:r>
      <w:r w:rsidR="00DB6BCD">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DB6BCD" w14:paraId="396614E3" w14:textId="77777777" w:rsidTr="00F7066F">
        <w:tc>
          <w:tcPr>
            <w:tcW w:w="8630" w:type="dxa"/>
            <w:shd w:val="pct5" w:color="auto" w:fill="auto"/>
          </w:tcPr>
          <w:p w14:paraId="42F131AE" w14:textId="77777777" w:rsidR="00AE64EF" w:rsidRDefault="006B2416" w:rsidP="00AE64EF">
            <w:pPr>
              <w:keepNext/>
              <w:spacing w:before="120"/>
            </w:pPr>
            <w:r>
              <w:rPr>
                <w:noProof/>
                <w:sz w:val="26"/>
                <w:szCs w:val="22"/>
              </w:rPr>
              <w:drawing>
                <wp:inline distT="0" distB="0" distL="0" distR="0" wp14:anchorId="45DDE362" wp14:editId="473B6EFE">
                  <wp:extent cx="5355255" cy="574717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a Metamodel - FHI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72245" cy="5765406"/>
                          </a:xfrm>
                          <a:prstGeom prst="rect">
                            <a:avLst/>
                          </a:prstGeom>
                        </pic:spPr>
                      </pic:pic>
                    </a:graphicData>
                  </a:graphic>
                </wp:inline>
              </w:drawing>
            </w:r>
          </w:p>
          <w:p w14:paraId="046BDF67" w14:textId="0CC3E7B5" w:rsidR="00DB6BCD" w:rsidRPr="00AE64EF" w:rsidRDefault="00AE64EF" w:rsidP="00AE64EF">
            <w:pPr>
              <w:pStyle w:val="Caption"/>
            </w:pPr>
            <w:r>
              <w:t xml:space="preserve">Figure </w:t>
            </w:r>
            <w:r w:rsidR="00F35C85">
              <w:fldChar w:fldCharType="begin"/>
            </w:r>
            <w:r w:rsidR="00F35C85">
              <w:instrText xml:space="preserve"> SEQ Figure \* ARABIC </w:instrText>
            </w:r>
            <w:r w:rsidR="00F35C85">
              <w:fldChar w:fldCharType="separate"/>
            </w:r>
            <w:r w:rsidR="00EF1231">
              <w:rPr>
                <w:noProof/>
              </w:rPr>
              <w:t>7</w:t>
            </w:r>
            <w:r w:rsidR="00F35C85">
              <w:rPr>
                <w:noProof/>
              </w:rPr>
              <w:fldChar w:fldCharType="end"/>
            </w:r>
            <w:r>
              <w:t>: The FHIR View</w:t>
            </w:r>
          </w:p>
        </w:tc>
      </w:tr>
    </w:tbl>
    <w:p w14:paraId="0E3585DB" w14:textId="77777777" w:rsidR="00F7066F" w:rsidRDefault="00F7066F" w:rsidP="0035589F">
      <w:pPr>
        <w:pStyle w:val="ListParagraph"/>
        <w:numPr>
          <w:ilvl w:val="0"/>
          <w:numId w:val="16"/>
        </w:numPr>
        <w:spacing w:before="180"/>
        <w:rPr>
          <w:sz w:val="26"/>
          <w:szCs w:val="22"/>
        </w:rPr>
      </w:pPr>
      <w:r>
        <w:rPr>
          <w:sz w:val="26"/>
          <w:szCs w:val="22"/>
        </w:rPr>
        <w:t>A LogicalRecordLayout, because it nests, can mimic the architecture of resources like the Composition. The challenge here is that there needs to be a mechanism for circumscribing a set LogicalRecordLayouts to form a resource</w:t>
      </w:r>
    </w:p>
    <w:p w14:paraId="07725801" w14:textId="79AEBD54" w:rsidR="00B218FA" w:rsidRPr="00F7066F" w:rsidRDefault="00B218FA" w:rsidP="0048676C">
      <w:pPr>
        <w:pStyle w:val="ListParagraph"/>
        <w:numPr>
          <w:ilvl w:val="0"/>
          <w:numId w:val="16"/>
        </w:numPr>
        <w:spacing w:before="120" w:after="120"/>
        <w:rPr>
          <w:sz w:val="26"/>
          <w:szCs w:val="22"/>
        </w:rPr>
      </w:pPr>
      <w:r w:rsidRPr="00F7066F">
        <w:rPr>
          <w:sz w:val="26"/>
          <w:szCs w:val="22"/>
        </w:rPr>
        <w:t>LogicalRecordLayout inherits from AnnotatedIdentifiable</w:t>
      </w:r>
      <w:r w:rsidR="00830604">
        <w:rPr>
          <w:sz w:val="26"/>
          <w:szCs w:val="22"/>
        </w:rPr>
        <w:t>,</w:t>
      </w:r>
      <w:r w:rsidR="00F7066F">
        <w:rPr>
          <w:sz w:val="26"/>
          <w:szCs w:val="22"/>
        </w:rPr>
        <w:t xml:space="preserve"> as do many classes in the DDI4 model</w:t>
      </w:r>
      <w:r w:rsidR="008538DA">
        <w:rPr>
          <w:sz w:val="26"/>
          <w:szCs w:val="22"/>
        </w:rPr>
        <w:t>.</w:t>
      </w:r>
      <w:r w:rsidR="00F7066F">
        <w:rPr>
          <w:sz w:val="26"/>
          <w:szCs w:val="22"/>
        </w:rPr>
        <w:t xml:space="preserve"> Perhaps it is the job of either the as-is or a to-be </w:t>
      </w:r>
      <w:r w:rsidR="00F7066F" w:rsidRPr="00F7066F">
        <w:rPr>
          <w:sz w:val="26"/>
          <w:szCs w:val="22"/>
        </w:rPr>
        <w:t>AnnotatedIdentifiable</w:t>
      </w:r>
      <w:r w:rsidR="00F7066F">
        <w:rPr>
          <w:sz w:val="26"/>
          <w:szCs w:val="22"/>
        </w:rPr>
        <w:t xml:space="preserve"> </w:t>
      </w:r>
      <w:r w:rsidR="0035589F">
        <w:rPr>
          <w:sz w:val="26"/>
          <w:szCs w:val="22"/>
        </w:rPr>
        <w:t>to support the identification of resources</w:t>
      </w:r>
      <w:r w:rsidR="00C328D6">
        <w:rPr>
          <w:sz w:val="26"/>
          <w:szCs w:val="22"/>
        </w:rPr>
        <w:t>:</w:t>
      </w:r>
    </w:p>
    <w:tbl>
      <w:tblPr>
        <w:tblStyle w:val="TableGrid"/>
        <w:tblW w:w="0" w:type="auto"/>
        <w:tblInd w:w="720" w:type="dxa"/>
        <w:tblLook w:val="04A0" w:firstRow="1" w:lastRow="0" w:firstColumn="1" w:lastColumn="0" w:noHBand="0" w:noVBand="1"/>
      </w:tblPr>
      <w:tblGrid>
        <w:gridCol w:w="8630"/>
      </w:tblGrid>
      <w:tr w:rsidR="00B218FA" w14:paraId="5DDD9FCA" w14:textId="77777777" w:rsidTr="00B218FA">
        <w:tc>
          <w:tcPr>
            <w:tcW w:w="9350" w:type="dxa"/>
          </w:tcPr>
          <w:p w14:paraId="42CA16E8" w14:textId="1329A9A6" w:rsidR="00B218FA" w:rsidRPr="00B218FA" w:rsidRDefault="00B218FA" w:rsidP="00B218FA">
            <w:pPr>
              <w:spacing w:before="120"/>
              <w:rPr>
                <w:sz w:val="26"/>
                <w:szCs w:val="22"/>
              </w:rPr>
            </w:pPr>
            <w:r w:rsidRPr="00B218FA">
              <w:rPr>
                <w:noProof/>
                <w:sz w:val="26"/>
                <w:szCs w:val="22"/>
              </w:rPr>
              <w:drawing>
                <wp:inline distT="0" distB="0" distL="0" distR="0" wp14:anchorId="405E1135" wp14:editId="56817BB4">
                  <wp:extent cx="5342383" cy="654727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9546" cy="6568306"/>
                          </a:xfrm>
                          <a:prstGeom prst="rect">
                            <a:avLst/>
                          </a:prstGeom>
                        </pic:spPr>
                      </pic:pic>
                    </a:graphicData>
                  </a:graphic>
                </wp:inline>
              </w:drawing>
            </w:r>
          </w:p>
        </w:tc>
      </w:tr>
    </w:tbl>
    <w:p w14:paraId="74A55E26" w14:textId="3FA24197" w:rsidR="001024B4" w:rsidRPr="00F75D66" w:rsidRDefault="00F75D66" w:rsidP="00F75D66">
      <w:pPr>
        <w:pStyle w:val="ListParagraph"/>
        <w:numPr>
          <w:ilvl w:val="0"/>
          <w:numId w:val="13"/>
        </w:numPr>
        <w:spacing w:before="120"/>
        <w:rPr>
          <w:sz w:val="26"/>
          <w:szCs w:val="22"/>
        </w:rPr>
      </w:pPr>
      <w:r>
        <w:rPr>
          <w:sz w:val="26"/>
          <w:szCs w:val="22"/>
        </w:rPr>
        <w:t>When it comes to supporting resource references in general</w:t>
      </w:r>
      <w:r w:rsidR="00830604">
        <w:rPr>
          <w:sz w:val="26"/>
          <w:szCs w:val="22"/>
        </w:rPr>
        <w:t>,</w:t>
      </w:r>
      <w:r>
        <w:rPr>
          <w:sz w:val="26"/>
          <w:szCs w:val="22"/>
        </w:rPr>
        <w:t xml:space="preserve"> perhaps the reference is just an instance variable that takes a complex datatype which conforms to how FHIR models references:</w:t>
      </w:r>
      <w:r w:rsidR="00763AE7" w:rsidRPr="00F75D66">
        <w:rPr>
          <w:sz w:val="26"/>
          <w:szCs w:val="22"/>
        </w:rPr>
        <w:br/>
      </w:r>
    </w:p>
    <w:tbl>
      <w:tblPr>
        <w:tblStyle w:val="TableGrid"/>
        <w:tblW w:w="0" w:type="auto"/>
        <w:tblInd w:w="715" w:type="dxa"/>
        <w:tblLook w:val="04A0" w:firstRow="1" w:lastRow="0" w:firstColumn="1" w:lastColumn="0" w:noHBand="0" w:noVBand="1"/>
      </w:tblPr>
      <w:tblGrid>
        <w:gridCol w:w="8635"/>
      </w:tblGrid>
      <w:tr w:rsidR="00763AE7" w14:paraId="66200007" w14:textId="77777777" w:rsidTr="00F75D66">
        <w:tc>
          <w:tcPr>
            <w:tcW w:w="8635" w:type="dxa"/>
          </w:tcPr>
          <w:p w14:paraId="7FAB3512" w14:textId="75CBE018" w:rsidR="00763AE7" w:rsidRDefault="00763AE7" w:rsidP="00763AE7">
            <w:pPr>
              <w:spacing w:before="120"/>
              <w:rPr>
                <w:sz w:val="26"/>
                <w:szCs w:val="22"/>
              </w:rPr>
            </w:pPr>
            <w:r w:rsidRPr="00763AE7">
              <w:rPr>
                <w:noProof/>
                <w:sz w:val="26"/>
                <w:szCs w:val="22"/>
              </w:rPr>
              <w:drawing>
                <wp:inline distT="0" distB="0" distL="0" distR="0" wp14:anchorId="2960FCBE" wp14:editId="674470F8">
                  <wp:extent cx="5314606" cy="128947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9507" cy="1322204"/>
                          </a:xfrm>
                          <a:prstGeom prst="rect">
                            <a:avLst/>
                          </a:prstGeom>
                        </pic:spPr>
                      </pic:pic>
                    </a:graphicData>
                  </a:graphic>
                </wp:inline>
              </w:drawing>
            </w:r>
          </w:p>
        </w:tc>
      </w:tr>
    </w:tbl>
    <w:p w14:paraId="4E1DF325" w14:textId="77777777" w:rsidR="006B2416" w:rsidRPr="006B2416" w:rsidRDefault="00C328D6" w:rsidP="00F75D66">
      <w:pPr>
        <w:pStyle w:val="ListParagraph"/>
        <w:numPr>
          <w:ilvl w:val="1"/>
          <w:numId w:val="9"/>
        </w:numPr>
        <w:spacing w:before="120"/>
        <w:ind w:left="720"/>
        <w:rPr>
          <w:sz w:val="26"/>
          <w:szCs w:val="26"/>
        </w:rPr>
      </w:pPr>
      <w:r>
        <w:rPr>
          <w:sz w:val="26"/>
          <w:szCs w:val="26"/>
        </w:rPr>
        <w:t>There remain nuances like inline or “contained” references that are not specifically identifiable and</w:t>
      </w:r>
      <w:r>
        <w:rPr>
          <w:sz w:val="26"/>
          <w:szCs w:val="22"/>
        </w:rPr>
        <w:t xml:space="preserve"> “Any” references that may be the subject of late binding. Managing the nuances</w:t>
      </w:r>
      <w:r w:rsidR="00E878E6">
        <w:rPr>
          <w:sz w:val="26"/>
          <w:szCs w:val="22"/>
        </w:rPr>
        <w:t>,</w:t>
      </w:r>
      <w:r>
        <w:rPr>
          <w:sz w:val="26"/>
          <w:szCs w:val="22"/>
        </w:rPr>
        <w:t xml:space="preserve"> so long as they are explicitly identified</w:t>
      </w:r>
      <w:r w:rsidR="00E878E6">
        <w:rPr>
          <w:sz w:val="26"/>
          <w:szCs w:val="22"/>
        </w:rPr>
        <w:t>,</w:t>
      </w:r>
      <w:r>
        <w:rPr>
          <w:sz w:val="26"/>
          <w:szCs w:val="22"/>
        </w:rPr>
        <w:t xml:space="preserve"> could be part of the work of t</w:t>
      </w:r>
      <w:r w:rsidR="00830604">
        <w:rPr>
          <w:sz w:val="26"/>
          <w:szCs w:val="22"/>
        </w:rPr>
        <w:t>he serializer. In fact, in DDI4</w:t>
      </w:r>
      <w:r>
        <w:rPr>
          <w:sz w:val="26"/>
          <w:szCs w:val="22"/>
        </w:rPr>
        <w:t xml:space="preserve"> during serialization all nesting is managed by reference</w:t>
      </w:r>
      <w:r w:rsidR="00E878E6">
        <w:rPr>
          <w:sz w:val="26"/>
          <w:szCs w:val="22"/>
        </w:rPr>
        <w:t>: n</w:t>
      </w:r>
      <w:r>
        <w:rPr>
          <w:sz w:val="26"/>
          <w:szCs w:val="22"/>
        </w:rPr>
        <w:t>ested objects are pulled out and nesting objects are given references to their children.</w:t>
      </w:r>
    </w:p>
    <w:p w14:paraId="6B64B4CC" w14:textId="77777777" w:rsidR="007B1877" w:rsidRPr="007B1877" w:rsidRDefault="006B2416" w:rsidP="00F75D66">
      <w:pPr>
        <w:pStyle w:val="ListParagraph"/>
        <w:numPr>
          <w:ilvl w:val="1"/>
          <w:numId w:val="9"/>
        </w:numPr>
        <w:spacing w:before="120"/>
        <w:ind w:left="720"/>
        <w:rPr>
          <w:sz w:val="26"/>
          <w:szCs w:val="26"/>
        </w:rPr>
      </w:pPr>
      <w:r>
        <w:rPr>
          <w:sz w:val="26"/>
          <w:szCs w:val="22"/>
        </w:rPr>
        <w:t>Much of the context of a FHIR Observation resource is captured elsewhere.</w:t>
      </w:r>
      <w:r w:rsidR="002C0E08">
        <w:rPr>
          <w:sz w:val="26"/>
          <w:szCs w:val="22"/>
        </w:rPr>
        <w:t xml:space="preserve"> </w:t>
      </w:r>
      <w:r w:rsidR="007B1877">
        <w:rPr>
          <w:sz w:val="26"/>
          <w:szCs w:val="22"/>
        </w:rPr>
        <w:t>In discussing its “Boundaries and Relationships” this is what FHIR says:</w:t>
      </w:r>
    </w:p>
    <w:p w14:paraId="18FBA88E" w14:textId="77777777" w:rsidR="007B1877" w:rsidRDefault="007B1877" w:rsidP="007B1877">
      <w:pPr>
        <w:spacing w:before="120"/>
        <w:ind w:left="720"/>
        <w:rPr>
          <w:rFonts w:cs="Verdana"/>
          <w:i/>
          <w:color w:val="262626"/>
        </w:rPr>
      </w:pPr>
      <w:r w:rsidRPr="007B1877">
        <w:rPr>
          <w:rFonts w:cs="Verdana"/>
          <w:i/>
          <w:color w:val="262626"/>
        </w:rPr>
        <w:t xml:space="preserve">In contrast to the Observation resource, the </w:t>
      </w:r>
      <w:hyperlink r:id="rId37" w:history="1">
        <w:r w:rsidRPr="007B1877">
          <w:rPr>
            <w:rFonts w:cs="Verdana"/>
            <w:i/>
            <w:color w:val="3576BE"/>
          </w:rPr>
          <w:t>DiagnosticReport</w:t>
        </w:r>
      </w:hyperlink>
      <w:r w:rsidRPr="007B1877">
        <w:rPr>
          <w:rFonts w:cs="Verdana"/>
          <w:i/>
          <w:color w:val="262626"/>
        </w:rPr>
        <w:t xml:space="preserve"> resource typically includes additional clinical context and some mix of atomic results, images, imaging reports, textual and coded interpretation, and formatted representations. Laboratory reports, pathology reports, and imaging reports should be represented using the DiagnosticReport resource. The Observation resource is referenced by the DiagnosticReport to provide the atomic results for a particular investigation.</w:t>
      </w:r>
    </w:p>
    <w:p w14:paraId="5B3F0229" w14:textId="77777777" w:rsidR="006541CA" w:rsidRDefault="006541CA" w:rsidP="007B1877">
      <w:pPr>
        <w:spacing w:before="120"/>
        <w:ind w:left="720"/>
        <w:rPr>
          <w:rFonts w:cs="Verdana"/>
          <w:color w:val="262626"/>
          <w:sz w:val="26"/>
          <w:szCs w:val="26"/>
        </w:rPr>
      </w:pPr>
      <w:r>
        <w:rPr>
          <w:rFonts w:cs="Verdana"/>
          <w:color w:val="262626"/>
          <w:sz w:val="26"/>
          <w:szCs w:val="26"/>
        </w:rPr>
        <w:t>Arguably FHIR manages at least some of the context of an Observation in a way that is different from the openEHR approach. FHIR goes on to say:</w:t>
      </w:r>
    </w:p>
    <w:p w14:paraId="59DB13CF" w14:textId="77777777" w:rsidR="002226C7" w:rsidRDefault="006541CA" w:rsidP="007B1877">
      <w:pPr>
        <w:spacing w:before="120"/>
        <w:ind w:left="720"/>
        <w:rPr>
          <w:rFonts w:cs="Verdana"/>
          <w:i/>
          <w:color w:val="262626"/>
        </w:rPr>
      </w:pPr>
      <w:r w:rsidRPr="006541CA">
        <w:rPr>
          <w:rFonts w:cs="Verdana"/>
          <w:i/>
          <w:color w:val="262626"/>
        </w:rPr>
        <w:t xml:space="preserve">The Observation resources should not be used to record diagnosis or clinical assessments about a patient or subject that are typically captured in the </w:t>
      </w:r>
      <w:hyperlink r:id="rId38" w:history="1">
        <w:r w:rsidRPr="006541CA">
          <w:rPr>
            <w:rFonts w:cs="Verdana"/>
            <w:i/>
            <w:color w:val="3576BE"/>
          </w:rPr>
          <w:t>Condition</w:t>
        </w:r>
      </w:hyperlink>
      <w:r w:rsidRPr="006541CA">
        <w:rPr>
          <w:rFonts w:cs="Verdana"/>
          <w:i/>
          <w:color w:val="262626"/>
        </w:rPr>
        <w:t xml:space="preserve"> resource or the </w:t>
      </w:r>
      <w:hyperlink r:id="rId39" w:history="1">
        <w:r w:rsidRPr="006541CA">
          <w:rPr>
            <w:rFonts w:cs="Verdana"/>
            <w:i/>
            <w:color w:val="3576BE"/>
          </w:rPr>
          <w:t>ClinicalImpression resource</w:t>
        </w:r>
      </w:hyperlink>
      <w:r w:rsidRPr="006541CA">
        <w:rPr>
          <w:rFonts w:cs="Verdana"/>
          <w:i/>
          <w:color w:val="262626"/>
        </w:rPr>
        <w:t xml:space="preserve">. However, the Observation resource is often referenced by the Condition resource to provide specific subjective and objective data to support its assertions. There are other resources that can be considered "specializations" of the Observation resource and should be used for those specific contexts and use cases. They include </w:t>
      </w:r>
      <w:hyperlink r:id="rId40" w:history="1">
        <w:r w:rsidRPr="006541CA">
          <w:rPr>
            <w:rFonts w:cs="Verdana"/>
            <w:i/>
            <w:color w:val="3576BE"/>
          </w:rPr>
          <w:t>AllergyIntolerance</w:t>
        </w:r>
      </w:hyperlink>
      <w:r w:rsidRPr="006541CA">
        <w:rPr>
          <w:rFonts w:cs="Verdana"/>
          <w:i/>
          <w:color w:val="262626"/>
        </w:rPr>
        <w:t xml:space="preserve"> resource, </w:t>
      </w:r>
      <w:hyperlink r:id="rId41" w:history="1">
        <w:r w:rsidRPr="006541CA">
          <w:rPr>
            <w:rFonts w:cs="Verdana"/>
            <w:i/>
            <w:color w:val="3576BE"/>
          </w:rPr>
          <w:t>FamilyMemberHistory</w:t>
        </w:r>
      </w:hyperlink>
      <w:r w:rsidRPr="006541CA">
        <w:rPr>
          <w:rFonts w:cs="Verdana"/>
          <w:i/>
          <w:color w:val="262626"/>
        </w:rPr>
        <w:t xml:space="preserve"> resource, </w:t>
      </w:r>
      <w:hyperlink r:id="rId42" w:history="1">
        <w:r w:rsidRPr="006541CA">
          <w:rPr>
            <w:rFonts w:cs="Verdana"/>
            <w:i/>
            <w:color w:val="3576BE"/>
          </w:rPr>
          <w:t>Procedure</w:t>
        </w:r>
      </w:hyperlink>
      <w:r w:rsidRPr="006541CA">
        <w:rPr>
          <w:rFonts w:cs="Verdana"/>
          <w:i/>
          <w:color w:val="262626"/>
        </w:rPr>
        <w:t xml:space="preserve"> resource, and </w:t>
      </w:r>
      <w:hyperlink r:id="rId43" w:history="1">
        <w:r w:rsidRPr="006541CA">
          <w:rPr>
            <w:rFonts w:cs="Verdana"/>
            <w:i/>
            <w:color w:val="3576BE"/>
          </w:rPr>
          <w:t>Questionnaire</w:t>
        </w:r>
      </w:hyperlink>
      <w:r w:rsidRPr="006541CA">
        <w:rPr>
          <w:rFonts w:cs="Verdana"/>
          <w:i/>
          <w:color w:val="262626"/>
        </w:rPr>
        <w:t xml:space="preserve"> resource.</w:t>
      </w:r>
    </w:p>
    <w:p w14:paraId="1300417E" w14:textId="6B864DF9" w:rsidR="00C310B7" w:rsidRDefault="0041037E" w:rsidP="00C310B7">
      <w:pPr>
        <w:spacing w:before="120"/>
        <w:ind w:left="720"/>
        <w:rPr>
          <w:rFonts w:cs="Verdana"/>
          <w:color w:val="262626"/>
          <w:sz w:val="26"/>
          <w:szCs w:val="26"/>
        </w:rPr>
      </w:pPr>
      <w:r w:rsidRPr="00C84F78">
        <w:rPr>
          <w:rFonts w:cs="Verdana"/>
          <w:color w:val="262626"/>
          <w:sz w:val="26"/>
          <w:szCs w:val="26"/>
        </w:rPr>
        <w:t xml:space="preserve">FHIR then </w:t>
      </w:r>
      <w:r w:rsidR="00CB3C30" w:rsidRPr="00C84F78">
        <w:rPr>
          <w:rFonts w:cs="Verdana"/>
          <w:color w:val="262626"/>
          <w:sz w:val="26"/>
          <w:szCs w:val="26"/>
        </w:rPr>
        <w:t xml:space="preserve">approaches observation systematically. It both supports specializations of an observation and places observations in various </w:t>
      </w:r>
      <w:r w:rsidR="009D0B55">
        <w:rPr>
          <w:rFonts w:cs="Verdana"/>
          <w:color w:val="262626"/>
          <w:sz w:val="26"/>
          <w:szCs w:val="26"/>
        </w:rPr>
        <w:t xml:space="preserve">clinical </w:t>
      </w:r>
      <w:r w:rsidR="00CB3C30" w:rsidRPr="00C84F78">
        <w:rPr>
          <w:rFonts w:cs="Verdana"/>
          <w:color w:val="262626"/>
          <w:sz w:val="26"/>
          <w:szCs w:val="26"/>
        </w:rPr>
        <w:t>contexts.</w:t>
      </w:r>
      <w:r w:rsidR="00E64E87" w:rsidRPr="00C84F78">
        <w:rPr>
          <w:rFonts w:cs="Verdana"/>
          <w:color w:val="262626"/>
          <w:sz w:val="26"/>
          <w:szCs w:val="26"/>
        </w:rPr>
        <w:t xml:space="preserve"> This has significance for the DDI use of ViewPoint. As we move from Observation and its specializations in FHIR to their contexts, we imagine there will be more “attributes” and fewer “measures”</w:t>
      </w:r>
      <w:r w:rsidR="00557E3B" w:rsidRPr="00C84F78">
        <w:rPr>
          <w:rFonts w:cs="Verdana"/>
          <w:color w:val="262626"/>
          <w:sz w:val="26"/>
          <w:szCs w:val="26"/>
        </w:rPr>
        <w:t xml:space="preserve"> in each resource</w:t>
      </w:r>
      <w:r w:rsidR="00E64E87" w:rsidRPr="00C84F78">
        <w:rPr>
          <w:rFonts w:cs="Verdana"/>
          <w:color w:val="262626"/>
          <w:sz w:val="26"/>
          <w:szCs w:val="26"/>
        </w:rPr>
        <w:t>.</w:t>
      </w:r>
      <w:r w:rsidR="00D0290E" w:rsidRPr="00C84F78">
        <w:rPr>
          <w:rFonts w:cs="Verdana"/>
          <w:color w:val="262626"/>
          <w:sz w:val="26"/>
          <w:szCs w:val="26"/>
        </w:rPr>
        <w:t xml:space="preserve"> In openEHR DDI was exposed to one way of classifying context. In FHIR there are specific resources in which atomic results may be embedded.</w:t>
      </w:r>
      <w:r w:rsidR="00557E3B" w:rsidRPr="00C84F78">
        <w:rPr>
          <w:rFonts w:cs="Verdana"/>
          <w:color w:val="262626"/>
          <w:sz w:val="26"/>
          <w:szCs w:val="26"/>
        </w:rPr>
        <w:t xml:space="preserve"> So FHIR, by and large, takes the approach of </w:t>
      </w:r>
      <w:r w:rsidR="00C310B7" w:rsidRPr="00C84F78">
        <w:rPr>
          <w:rFonts w:cs="Verdana"/>
          <w:color w:val="262626"/>
          <w:sz w:val="26"/>
          <w:szCs w:val="26"/>
        </w:rPr>
        <w:t>representing</w:t>
      </w:r>
      <w:r w:rsidR="00557E3B" w:rsidRPr="00C84F78">
        <w:rPr>
          <w:rFonts w:cs="Verdana"/>
          <w:color w:val="262626"/>
          <w:sz w:val="26"/>
          <w:szCs w:val="26"/>
        </w:rPr>
        <w:t xml:space="preserve"> contexts as their own resources.</w:t>
      </w:r>
      <w:r w:rsidR="006B1A81" w:rsidRPr="00C84F78">
        <w:rPr>
          <w:rFonts w:cs="Verdana"/>
          <w:color w:val="262626"/>
          <w:sz w:val="26"/>
          <w:szCs w:val="26"/>
        </w:rPr>
        <w:t xml:space="preserve"> If DDI is interested classifying health information attributes in its AttributeRole, it could learn much from FHIR.</w:t>
      </w:r>
    </w:p>
    <w:p w14:paraId="10C9426B" w14:textId="3B08DC4E" w:rsidR="00792BEE" w:rsidRDefault="00792BEE" w:rsidP="007B2669">
      <w:pPr>
        <w:pStyle w:val="Heading1"/>
        <w:spacing w:after="120"/>
      </w:pPr>
      <w:r>
        <w:t>Conformance with GSIM</w:t>
      </w:r>
    </w:p>
    <w:tbl>
      <w:tblPr>
        <w:tblStyle w:val="TableGrid"/>
        <w:tblW w:w="0" w:type="auto"/>
        <w:tblBorders>
          <w:insideH w:val="none" w:sz="0" w:space="0" w:color="auto"/>
          <w:insideV w:val="none" w:sz="0" w:space="0" w:color="auto"/>
        </w:tblBorders>
        <w:shd w:val="pct5" w:color="auto" w:fill="auto"/>
        <w:tblCellMar>
          <w:top w:w="115" w:type="dxa"/>
          <w:left w:w="115" w:type="dxa"/>
          <w:bottom w:w="115" w:type="dxa"/>
          <w:right w:w="115" w:type="dxa"/>
        </w:tblCellMar>
        <w:tblLook w:val="04A0" w:firstRow="1" w:lastRow="0" w:firstColumn="1" w:lastColumn="0" w:noHBand="0" w:noVBand="1"/>
      </w:tblPr>
      <w:tblGrid>
        <w:gridCol w:w="9350"/>
      </w:tblGrid>
      <w:tr w:rsidR="00490AAC" w14:paraId="52113758" w14:textId="77777777" w:rsidTr="00490AAC">
        <w:tc>
          <w:tcPr>
            <w:tcW w:w="9350" w:type="dxa"/>
            <w:shd w:val="pct5" w:color="auto" w:fill="auto"/>
            <w:vAlign w:val="center"/>
          </w:tcPr>
          <w:p w14:paraId="2551E6D5" w14:textId="3A43D7B0" w:rsidR="00490AAC" w:rsidRDefault="00490AAC" w:rsidP="00490AAC">
            <w:pPr>
              <w:spacing w:before="40"/>
              <w:jc w:val="center"/>
              <w:rPr>
                <w:i/>
              </w:rPr>
            </w:pPr>
            <w:r w:rsidRPr="00490AAC">
              <w:rPr>
                <w:i/>
                <w:noProof/>
              </w:rPr>
              <w:drawing>
                <wp:inline distT="0" distB="0" distL="0" distR="0" wp14:anchorId="57B65D2B" wp14:editId="79ED828B">
                  <wp:extent cx="5065861" cy="37956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3824" cy="3816558"/>
                          </a:xfrm>
                          <a:prstGeom prst="rect">
                            <a:avLst/>
                          </a:prstGeom>
                          <a:ln w="12700">
                            <a:noFill/>
                          </a:ln>
                        </pic:spPr>
                      </pic:pic>
                    </a:graphicData>
                  </a:graphic>
                </wp:inline>
              </w:drawing>
            </w:r>
          </w:p>
        </w:tc>
        <w:bookmarkStart w:id="0" w:name="_GoBack"/>
        <w:bookmarkEnd w:id="0"/>
      </w:tr>
    </w:tbl>
    <w:p w14:paraId="5DF8738D" w14:textId="4AA457BE" w:rsidR="00792BEE" w:rsidRDefault="009137B5" w:rsidP="007434F5">
      <w:pPr>
        <w:spacing w:before="120"/>
      </w:pPr>
      <w:r>
        <w:t>In GSIM data description revolves around Data Structure whereas in DDI4 data description revolves around LogicalRecordLayout.</w:t>
      </w:r>
    </w:p>
    <w:p w14:paraId="39EF6335" w14:textId="77807E01" w:rsidR="007434F5" w:rsidRDefault="007434F5" w:rsidP="006C649E">
      <w:pPr>
        <w:pStyle w:val="ListParagraph"/>
        <w:numPr>
          <w:ilvl w:val="0"/>
          <w:numId w:val="19"/>
        </w:numPr>
        <w:spacing w:before="80"/>
      </w:pPr>
      <w:r>
        <w:t>Recall that a LogicalRecordLayout is synonymous with a schema, and a schema is a formalism or, again, a language for describing structures</w:t>
      </w:r>
    </w:p>
    <w:p w14:paraId="176EF629" w14:textId="23080BC2" w:rsidR="00AD74D9" w:rsidRDefault="00AD74D9" w:rsidP="006C649E">
      <w:pPr>
        <w:pStyle w:val="ListParagraph"/>
        <w:numPr>
          <w:ilvl w:val="0"/>
          <w:numId w:val="19"/>
        </w:numPr>
        <w:spacing w:before="80"/>
      </w:pPr>
      <w:r>
        <w:t xml:space="preserve">DDI4 uses this language to discern structures, while GSIM </w:t>
      </w:r>
      <w:r w:rsidR="006C1051">
        <w:t>both posits</w:t>
      </w:r>
      <w:r w:rsidR="007114DC">
        <w:t xml:space="preserve"> dimensional and unit data structures and </w:t>
      </w:r>
      <w:r>
        <w:t xml:space="preserve">uses the distinction between identifier, measure and attribute components to </w:t>
      </w:r>
      <w:r w:rsidR="007114DC">
        <w:t>describe</w:t>
      </w:r>
      <w:r>
        <w:t xml:space="preserve"> them</w:t>
      </w:r>
    </w:p>
    <w:p w14:paraId="5BF94915" w14:textId="0344BB50" w:rsidR="00AD74D9" w:rsidRDefault="00B22836" w:rsidP="006C649E">
      <w:pPr>
        <w:pStyle w:val="ListParagraph"/>
        <w:numPr>
          <w:ilvl w:val="0"/>
          <w:numId w:val="19"/>
        </w:numPr>
        <w:spacing w:before="80"/>
      </w:pPr>
      <w:r>
        <w:t>The difference here is that DDI4</w:t>
      </w:r>
      <w:r w:rsidR="00AD74D9">
        <w:t>, using the LogicalRecordLayout</w:t>
      </w:r>
      <w:r>
        <w:t>, doesn’t get to unit and dimensional data on the basis of</w:t>
      </w:r>
      <w:r w:rsidR="007114DC">
        <w:t xml:space="preserve"> apriori </w:t>
      </w:r>
      <w:r w:rsidR="00AD74D9">
        <w:t>distinction</w:t>
      </w:r>
      <w:r>
        <w:t>s</w:t>
      </w:r>
      <w:r w:rsidR="00AD74D9">
        <w:t>.</w:t>
      </w:r>
    </w:p>
    <w:p w14:paraId="095376AA" w14:textId="7ED29413" w:rsidR="00AD74D9" w:rsidRDefault="007114DC" w:rsidP="006C649E">
      <w:pPr>
        <w:pStyle w:val="ListParagraph"/>
        <w:numPr>
          <w:ilvl w:val="0"/>
          <w:numId w:val="19"/>
        </w:numPr>
        <w:spacing w:before="80"/>
      </w:pPr>
      <w:r>
        <w:t xml:space="preserve">Instead a </w:t>
      </w:r>
      <w:r w:rsidR="00242B5A">
        <w:t xml:space="preserve">DataStore can take </w:t>
      </w:r>
      <w:r w:rsidR="00B22836">
        <w:t>Data</w:t>
      </w:r>
      <w:r>
        <w:t>Record</w:t>
      </w:r>
      <w:r w:rsidR="00242B5A">
        <w:t>s with</w:t>
      </w:r>
      <w:r>
        <w:t xml:space="preserve"> </w:t>
      </w:r>
      <w:r w:rsidR="00242B5A">
        <w:t>different</w:t>
      </w:r>
      <w:r>
        <w:t xml:space="preserve"> LogicalRecordLayouts </w:t>
      </w:r>
      <w:r w:rsidR="00FF6D96">
        <w:t>with a Process in between them</w:t>
      </w:r>
      <w:r w:rsidR="00AD74D9">
        <w:t>.</w:t>
      </w:r>
    </w:p>
    <w:p w14:paraId="38C225F4" w14:textId="70BEE394" w:rsidR="00FF6D96" w:rsidRDefault="00FF6D96" w:rsidP="00FF6D96">
      <w:pPr>
        <w:pStyle w:val="ListParagraph"/>
        <w:numPr>
          <w:ilvl w:val="1"/>
          <w:numId w:val="19"/>
        </w:numPr>
        <w:spacing w:before="80"/>
      </w:pPr>
      <w:r>
        <w:t xml:space="preserve">The Process takes as input a set of unit </w:t>
      </w:r>
      <w:r w:rsidR="0091034C">
        <w:t>DataR</w:t>
      </w:r>
      <w:r>
        <w:t xml:space="preserve">ecords its reads with one LogicalRecordLayout and outputs a set of dimensional </w:t>
      </w:r>
      <w:r w:rsidR="0091034C">
        <w:t>DataR</w:t>
      </w:r>
      <w:r>
        <w:t>ecords</w:t>
      </w:r>
      <w:r w:rsidR="00F71631">
        <w:t xml:space="preserve"> guided by a second LogicalRecordLayout</w:t>
      </w:r>
    </w:p>
    <w:p w14:paraId="0B36E23A" w14:textId="662DA411" w:rsidR="00FF6D96" w:rsidRDefault="00242B5A" w:rsidP="00C91DC2">
      <w:pPr>
        <w:pStyle w:val="ListParagraph"/>
        <w:numPr>
          <w:ilvl w:val="1"/>
          <w:numId w:val="19"/>
        </w:numPr>
        <w:spacing w:before="80" w:after="240"/>
      </w:pPr>
      <w:r>
        <w:t>The Process is typically performed by a software agent and generates / provides derived Observations defined by Datum that are in turned sw</w:t>
      </w:r>
      <w:r w:rsidR="00946B6A">
        <w:t>e</w:t>
      </w:r>
      <w:r>
        <w:t xml:space="preserve">pt up into new DataPoints and </w:t>
      </w:r>
      <w:r w:rsidR="0091034C">
        <w:t>Data</w:t>
      </w:r>
      <w:r>
        <w:t>Records</w:t>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C91DC2" w14:paraId="5C0C3983" w14:textId="77777777" w:rsidTr="00C91DC2">
        <w:tc>
          <w:tcPr>
            <w:tcW w:w="9350" w:type="dxa"/>
            <w:shd w:val="pct5" w:color="auto" w:fill="auto"/>
          </w:tcPr>
          <w:p w14:paraId="3FEEF520" w14:textId="77777777" w:rsidR="00EF1231" w:rsidRDefault="001C1D67" w:rsidP="006B08FB">
            <w:pPr>
              <w:keepNext/>
              <w:spacing w:before="80"/>
              <w:jc w:val="center"/>
            </w:pPr>
            <w:r>
              <w:rPr>
                <w:noProof/>
              </w:rPr>
              <w:drawing>
                <wp:inline distT="0" distB="0" distL="0" distR="0" wp14:anchorId="4A76C63B" wp14:editId="1D76BF3C">
                  <wp:extent cx="4868313" cy="6090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ma Metamodel - Dimensional.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79021" cy="6103468"/>
                          </a:xfrm>
                          <a:prstGeom prst="rect">
                            <a:avLst/>
                          </a:prstGeom>
                        </pic:spPr>
                      </pic:pic>
                    </a:graphicData>
                  </a:graphic>
                </wp:inline>
              </w:drawing>
            </w:r>
          </w:p>
          <w:p w14:paraId="6A7D17F0" w14:textId="579E397F" w:rsidR="00C91DC2" w:rsidRDefault="00EF1231" w:rsidP="00EF1231">
            <w:pPr>
              <w:pStyle w:val="Caption"/>
            </w:pPr>
            <w:r>
              <w:t xml:space="preserve">Figure </w:t>
            </w:r>
            <w:r w:rsidR="00F35C85">
              <w:fldChar w:fldCharType="begin"/>
            </w:r>
            <w:r w:rsidR="00F35C85">
              <w:instrText xml:space="preserve"> SEQ Figure \* ARABIC </w:instrText>
            </w:r>
            <w:r w:rsidR="00F35C85">
              <w:fldChar w:fldCharType="separate"/>
            </w:r>
            <w:r>
              <w:rPr>
                <w:noProof/>
              </w:rPr>
              <w:t>8</w:t>
            </w:r>
            <w:r w:rsidR="00F35C85">
              <w:rPr>
                <w:noProof/>
              </w:rPr>
              <w:fldChar w:fldCharType="end"/>
            </w:r>
            <w:r>
              <w:t>: The Dialectic of Unit and Dimensional Data</w:t>
            </w:r>
          </w:p>
        </w:tc>
      </w:tr>
    </w:tbl>
    <w:p w14:paraId="0A65338C" w14:textId="7C02CFA8" w:rsidR="00A8392F" w:rsidRDefault="00C91DC2" w:rsidP="00C91DC2">
      <w:pPr>
        <w:pStyle w:val="ListParagraph"/>
        <w:numPr>
          <w:ilvl w:val="0"/>
          <w:numId w:val="22"/>
        </w:numPr>
        <w:spacing w:before="240"/>
      </w:pPr>
      <w:r>
        <w:t xml:space="preserve">Note that in this arrangement the LogicalRecordLayout </w:t>
      </w:r>
      <w:r w:rsidR="001C1D67">
        <w:t>can describe other types of records too. Unit and dimensional are members of a class of rectangular layouts. The LogicalRecordLayout is recursive, so</w:t>
      </w:r>
      <w:r w:rsidR="006C51BB">
        <w:t xml:space="preserve"> it can describe</w:t>
      </w:r>
      <w:r w:rsidR="001C1D67">
        <w:t xml:space="preserve"> non-rectangular layouts </w:t>
      </w:r>
      <w:r w:rsidR="006C51BB">
        <w:t>too.</w:t>
      </w:r>
    </w:p>
    <w:p w14:paraId="72E4A55A" w14:textId="5A4442FE" w:rsidR="002A0F73" w:rsidRDefault="002A0F73" w:rsidP="00972655">
      <w:pPr>
        <w:spacing w:before="120"/>
      </w:pPr>
      <w:r>
        <w:t xml:space="preserve">This is not to say that GSIM and DDI4 don’t have a lot in common. </w:t>
      </w:r>
      <w:r w:rsidR="006C51BB">
        <w:t>Conceptually, t</w:t>
      </w:r>
      <w:r>
        <w:t>hey do.</w:t>
      </w:r>
      <w:r w:rsidR="006C51BB">
        <w:t xml:space="preserve"> It’s just that in additional to being a conceptual mod</w:t>
      </w:r>
      <w:r w:rsidR="008F697E">
        <w:t>el that adopts a number of GSIM classes</w:t>
      </w:r>
      <w:r w:rsidR="006C51BB">
        <w:t>, DDI4 is also a logical</w:t>
      </w:r>
      <w:r w:rsidR="008F697E">
        <w:t xml:space="preserve"> model.</w:t>
      </w:r>
    </w:p>
    <w:p w14:paraId="38E034AD" w14:textId="36C22F20" w:rsidR="00BC739E" w:rsidRDefault="00BC739E" w:rsidP="00972655">
      <w:pPr>
        <w:spacing w:before="120"/>
      </w:pPr>
      <w:r>
        <w:t>As a logical model DDI4 doesn’t just detail a conceptual model</w:t>
      </w:r>
      <w:r w:rsidR="00C84E83">
        <w:t xml:space="preserve"> stopping at physical implementation. A logical model can reveal when a conceptual model is over-architected which seems to be the case with the GSIM unit and dimensional classes.</w:t>
      </w:r>
    </w:p>
    <w:p w14:paraId="4161A177" w14:textId="77777777" w:rsidR="00C310B7" w:rsidRDefault="00C310B7" w:rsidP="00851999">
      <w:pPr>
        <w:pStyle w:val="Heading1"/>
        <w:spacing w:after="60"/>
      </w:pPr>
      <w:r>
        <w:t>Afterword</w:t>
      </w:r>
    </w:p>
    <w:p w14:paraId="08BF823A" w14:textId="3950AF52" w:rsidR="00C310B7" w:rsidRPr="00C84F78" w:rsidRDefault="00851999" w:rsidP="00C310B7">
      <w:pPr>
        <w:rPr>
          <w:sz w:val="26"/>
          <w:szCs w:val="26"/>
        </w:rPr>
      </w:pPr>
      <w:r w:rsidRPr="00C84F78">
        <w:rPr>
          <w:sz w:val="26"/>
          <w:szCs w:val="26"/>
        </w:rPr>
        <w:t>I am uncertain what these traversals actually “prove”.</w:t>
      </w:r>
    </w:p>
    <w:p w14:paraId="2FAC7F1E" w14:textId="77777777" w:rsidR="00851999" w:rsidRPr="00C84F78" w:rsidRDefault="00851999" w:rsidP="00C310B7">
      <w:pPr>
        <w:rPr>
          <w:sz w:val="26"/>
          <w:szCs w:val="26"/>
        </w:rPr>
      </w:pPr>
    </w:p>
    <w:p w14:paraId="07957AB1" w14:textId="48E4D512" w:rsidR="00851999" w:rsidRPr="00C84F78" w:rsidRDefault="00580AFB" w:rsidP="00C310B7">
      <w:pPr>
        <w:rPr>
          <w:sz w:val="26"/>
          <w:szCs w:val="26"/>
        </w:rPr>
      </w:pPr>
      <w:r w:rsidRPr="00C84F78">
        <w:rPr>
          <w:sz w:val="26"/>
          <w:szCs w:val="26"/>
        </w:rPr>
        <w:t>Maybe DDI</w:t>
      </w:r>
      <w:r w:rsidR="00E95687" w:rsidRPr="00C84F78">
        <w:rPr>
          <w:sz w:val="26"/>
          <w:szCs w:val="26"/>
        </w:rPr>
        <w:t xml:space="preserve">4 has sufficient promise even now to describe the same data that other standards do. I am not sure that the team that developed this standard was aiming at a “theory of everything”. As a member of the team, I can say it was our intention to subsume relational and dimensional data within a single representation. </w:t>
      </w:r>
      <w:r w:rsidR="00A446B4" w:rsidRPr="00C84F78">
        <w:rPr>
          <w:sz w:val="26"/>
          <w:szCs w:val="26"/>
        </w:rPr>
        <w:t>Also</w:t>
      </w:r>
      <w:r w:rsidR="00802994" w:rsidRPr="00C84F78">
        <w:rPr>
          <w:sz w:val="26"/>
          <w:szCs w:val="26"/>
        </w:rPr>
        <w:t>,</w:t>
      </w:r>
      <w:r w:rsidR="00B445DA" w:rsidRPr="00C84F78">
        <w:rPr>
          <w:sz w:val="26"/>
          <w:szCs w:val="26"/>
        </w:rPr>
        <w:t xml:space="preserve"> because</w:t>
      </w:r>
      <w:r w:rsidR="00A446B4" w:rsidRPr="00C84F78">
        <w:rPr>
          <w:sz w:val="26"/>
          <w:szCs w:val="26"/>
        </w:rPr>
        <w:t xml:space="preserve"> of</w:t>
      </w:r>
      <w:r w:rsidR="00B445DA" w:rsidRPr="00C84F78">
        <w:rPr>
          <w:sz w:val="26"/>
          <w:szCs w:val="26"/>
        </w:rPr>
        <w:t xml:space="preserve"> a</w:t>
      </w:r>
      <w:r w:rsidR="00A446B4" w:rsidRPr="00C84F78">
        <w:rPr>
          <w:sz w:val="26"/>
          <w:szCs w:val="26"/>
        </w:rPr>
        <w:t xml:space="preserve"> </w:t>
      </w:r>
      <w:hyperlink r:id="rId46" w:history="1">
        <w:r w:rsidR="00A446B4" w:rsidRPr="00C84F78">
          <w:rPr>
            <w:rStyle w:val="Hyperlink"/>
            <w:sz w:val="26"/>
            <w:szCs w:val="26"/>
          </w:rPr>
          <w:t>national experiment underway in Norway</w:t>
        </w:r>
      </w:hyperlink>
      <w:r w:rsidR="00A446B4" w:rsidRPr="00C84F78">
        <w:rPr>
          <w:sz w:val="26"/>
          <w:szCs w:val="26"/>
        </w:rPr>
        <w:t xml:space="preserve"> </w:t>
      </w:r>
      <w:r w:rsidR="00B445DA" w:rsidRPr="00C84F78">
        <w:rPr>
          <w:sz w:val="26"/>
          <w:szCs w:val="26"/>
        </w:rPr>
        <w:t xml:space="preserve">in which at least one of our team members participated, </w:t>
      </w:r>
      <w:r w:rsidR="00A446B4" w:rsidRPr="00C84F78">
        <w:rPr>
          <w:sz w:val="26"/>
          <w:szCs w:val="26"/>
        </w:rPr>
        <w:t>we became ver</w:t>
      </w:r>
      <w:r w:rsidR="00802994" w:rsidRPr="00C84F78">
        <w:rPr>
          <w:sz w:val="26"/>
          <w:szCs w:val="26"/>
        </w:rPr>
        <w:t xml:space="preserve">y interested in including </w:t>
      </w:r>
      <w:r w:rsidR="00A446B4" w:rsidRPr="00C84F78">
        <w:rPr>
          <w:sz w:val="26"/>
          <w:szCs w:val="26"/>
        </w:rPr>
        <w:t>use cases for atomic results and their context. As a result, we began to think more elementally.</w:t>
      </w:r>
      <w:r w:rsidR="00F419F9" w:rsidRPr="00C84F78">
        <w:rPr>
          <w:sz w:val="26"/>
          <w:szCs w:val="26"/>
        </w:rPr>
        <w:t xml:space="preserve"> And this interest doveta</w:t>
      </w:r>
      <w:r w:rsidRPr="00C84F78">
        <w:rPr>
          <w:sz w:val="26"/>
          <w:szCs w:val="26"/>
        </w:rPr>
        <w:t xml:space="preserve">iled with efforts </w:t>
      </w:r>
      <w:r w:rsidR="003C784B" w:rsidRPr="00C84F78">
        <w:rPr>
          <w:sz w:val="26"/>
          <w:szCs w:val="26"/>
        </w:rPr>
        <w:t xml:space="preserve">of </w:t>
      </w:r>
      <w:r w:rsidRPr="00C84F78">
        <w:rPr>
          <w:sz w:val="26"/>
          <w:szCs w:val="26"/>
        </w:rPr>
        <w:t xml:space="preserve">a few of us who </w:t>
      </w:r>
      <w:r w:rsidR="003C784B" w:rsidRPr="00C84F78">
        <w:rPr>
          <w:sz w:val="26"/>
          <w:szCs w:val="26"/>
        </w:rPr>
        <w:t>were</w:t>
      </w:r>
      <w:r w:rsidRPr="00C84F78">
        <w:rPr>
          <w:sz w:val="26"/>
          <w:szCs w:val="26"/>
        </w:rPr>
        <w:t xml:space="preserve"> engaged in building</w:t>
      </w:r>
      <w:r w:rsidR="00F419F9" w:rsidRPr="00C84F78">
        <w:rPr>
          <w:sz w:val="26"/>
          <w:szCs w:val="26"/>
        </w:rPr>
        <w:t xml:space="preserve"> </w:t>
      </w:r>
      <w:hyperlink r:id="rId47" w:history="1">
        <w:r w:rsidR="00F419F9" w:rsidRPr="00C84F78">
          <w:rPr>
            <w:rStyle w:val="Hyperlink"/>
            <w:sz w:val="26"/>
            <w:szCs w:val="26"/>
          </w:rPr>
          <w:t>health information data processing pipelines</w:t>
        </w:r>
      </w:hyperlink>
      <w:r w:rsidR="00F419F9" w:rsidRPr="00C84F78">
        <w:rPr>
          <w:sz w:val="26"/>
          <w:szCs w:val="26"/>
        </w:rPr>
        <w:t xml:space="preserve"> that began with unstructured information and used learning techniques to turn this information into kno</w:t>
      </w:r>
      <w:r w:rsidR="00B445DA" w:rsidRPr="00C84F78">
        <w:rPr>
          <w:sz w:val="26"/>
          <w:szCs w:val="26"/>
        </w:rPr>
        <w:t>wledge and ultimately present this kno</w:t>
      </w:r>
      <w:r w:rsidR="001B52F6" w:rsidRPr="00C84F78">
        <w:rPr>
          <w:sz w:val="26"/>
          <w:szCs w:val="26"/>
        </w:rPr>
        <w:t>w</w:t>
      </w:r>
      <w:r w:rsidR="00B445DA" w:rsidRPr="00C84F78">
        <w:rPr>
          <w:sz w:val="26"/>
          <w:szCs w:val="26"/>
        </w:rPr>
        <w:t>ledge</w:t>
      </w:r>
      <w:r w:rsidR="00F419F9" w:rsidRPr="00C84F78">
        <w:rPr>
          <w:sz w:val="26"/>
          <w:szCs w:val="26"/>
        </w:rPr>
        <w:t xml:space="preserve"> </w:t>
      </w:r>
      <w:r w:rsidRPr="00C84F78">
        <w:rPr>
          <w:sz w:val="26"/>
          <w:szCs w:val="26"/>
        </w:rPr>
        <w:t xml:space="preserve">in </w:t>
      </w:r>
      <w:r w:rsidR="001B52F6" w:rsidRPr="00C84F78">
        <w:rPr>
          <w:sz w:val="26"/>
          <w:szCs w:val="26"/>
        </w:rPr>
        <w:t>relational databases,</w:t>
      </w:r>
      <w:r w:rsidR="00F419F9" w:rsidRPr="00C84F78">
        <w:rPr>
          <w:sz w:val="26"/>
          <w:szCs w:val="26"/>
        </w:rPr>
        <w:t xml:space="preserve"> date wa</w:t>
      </w:r>
      <w:r w:rsidR="001B52F6" w:rsidRPr="00C84F78">
        <w:rPr>
          <w:sz w:val="26"/>
          <w:szCs w:val="26"/>
        </w:rPr>
        <w:t>rehouses and various visualization tools for high dimensional data.</w:t>
      </w:r>
    </w:p>
    <w:p w14:paraId="363655EB" w14:textId="77777777" w:rsidR="003C784B" w:rsidRPr="00C84F78" w:rsidRDefault="003C784B" w:rsidP="00C310B7">
      <w:pPr>
        <w:rPr>
          <w:sz w:val="26"/>
          <w:szCs w:val="26"/>
        </w:rPr>
      </w:pPr>
    </w:p>
    <w:p w14:paraId="5D8AEE16" w14:textId="072880B9" w:rsidR="003C784B" w:rsidRPr="00C84F78" w:rsidRDefault="00D13D56" w:rsidP="00C310B7">
      <w:pPr>
        <w:rPr>
          <w:sz w:val="26"/>
          <w:szCs w:val="26"/>
        </w:rPr>
      </w:pPr>
      <w:r w:rsidRPr="00C84F78">
        <w:rPr>
          <w:sz w:val="26"/>
          <w:szCs w:val="26"/>
        </w:rPr>
        <w:t>My opinion is that we remain at the beginning. But I think this is less a reflection on DDI4 and more a reflection on the state of data representa</w:t>
      </w:r>
      <w:r w:rsidR="00931695">
        <w:rPr>
          <w:sz w:val="26"/>
          <w:szCs w:val="26"/>
        </w:rPr>
        <w:t xml:space="preserve">tion which, to quote </w:t>
      </w:r>
      <w:r w:rsidRPr="00C84F78">
        <w:rPr>
          <w:sz w:val="26"/>
          <w:szCs w:val="26"/>
        </w:rPr>
        <w:t>Alice and Lewis Carroll</w:t>
      </w:r>
      <w:r w:rsidR="00931695">
        <w:rPr>
          <w:sz w:val="26"/>
          <w:szCs w:val="26"/>
        </w:rPr>
        <w:t xml:space="preserve"> once more,</w:t>
      </w:r>
      <w:r w:rsidR="00914C89" w:rsidRPr="00C84F78">
        <w:rPr>
          <w:sz w:val="26"/>
          <w:szCs w:val="26"/>
        </w:rPr>
        <w:t xml:space="preserve"> has become “curiouser and curiouser”.</w:t>
      </w:r>
    </w:p>
    <w:p w14:paraId="6F356991" w14:textId="77777777" w:rsidR="00914C89" w:rsidRPr="00C84F78" w:rsidRDefault="00914C89" w:rsidP="00C310B7">
      <w:pPr>
        <w:rPr>
          <w:sz w:val="26"/>
          <w:szCs w:val="26"/>
        </w:rPr>
      </w:pPr>
    </w:p>
    <w:p w14:paraId="34E24C3A" w14:textId="09947A92" w:rsidR="00914C89" w:rsidRPr="00C84F78" w:rsidRDefault="00931695" w:rsidP="00C310B7">
      <w:pPr>
        <w:rPr>
          <w:sz w:val="26"/>
          <w:szCs w:val="26"/>
        </w:rPr>
      </w:pPr>
      <w:r>
        <w:rPr>
          <w:sz w:val="26"/>
          <w:szCs w:val="26"/>
        </w:rPr>
        <w:t xml:space="preserve">I end with </w:t>
      </w:r>
      <w:r w:rsidR="00914C89" w:rsidRPr="00C84F78">
        <w:rPr>
          <w:sz w:val="26"/>
          <w:szCs w:val="26"/>
        </w:rPr>
        <w:t xml:space="preserve">three </w:t>
      </w:r>
      <w:r w:rsidR="00E46E71" w:rsidRPr="00C84F78">
        <w:rPr>
          <w:sz w:val="26"/>
          <w:szCs w:val="26"/>
        </w:rPr>
        <w:t>additional</w:t>
      </w:r>
      <w:r w:rsidR="00914C89" w:rsidRPr="00C84F78">
        <w:rPr>
          <w:sz w:val="26"/>
          <w:szCs w:val="26"/>
        </w:rPr>
        <w:t xml:space="preserve"> </w:t>
      </w:r>
      <w:r>
        <w:rPr>
          <w:sz w:val="26"/>
          <w:szCs w:val="26"/>
        </w:rPr>
        <w:t xml:space="preserve">Carroll </w:t>
      </w:r>
      <w:r w:rsidR="00914C89" w:rsidRPr="00C84F78">
        <w:rPr>
          <w:sz w:val="26"/>
          <w:szCs w:val="26"/>
        </w:rPr>
        <w:t xml:space="preserve">quotes now, courtesy of Google’s </w:t>
      </w:r>
      <w:hyperlink r:id="rId48" w:history="1">
        <w:r w:rsidR="00914C89" w:rsidRPr="00C84F78">
          <w:rPr>
            <w:rStyle w:val="Hyperlink"/>
            <w:sz w:val="26"/>
            <w:szCs w:val="26"/>
          </w:rPr>
          <w:t>Knowledge Graph</w:t>
        </w:r>
      </w:hyperlink>
      <w:r w:rsidR="00914C89" w:rsidRPr="00C84F78">
        <w:rPr>
          <w:sz w:val="26"/>
          <w:szCs w:val="26"/>
        </w:rPr>
        <w:t>:</w:t>
      </w:r>
    </w:p>
    <w:p w14:paraId="0D07C1D3" w14:textId="77777777" w:rsidR="00914C89" w:rsidRDefault="00914C89" w:rsidP="00C310B7"/>
    <w:p w14:paraId="7BA51F79" w14:textId="7A5B3FD4"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Sometimes I've believed as many as six impossible things before breakfast.</w:t>
      </w:r>
    </w:p>
    <w:p w14:paraId="328F00B7" w14:textId="1DA28558"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I can't go back to yesterday - because I was a different person then.</w:t>
      </w:r>
    </w:p>
    <w:p w14:paraId="024152C9" w14:textId="331B2B46" w:rsidR="00914C89" w:rsidRPr="00914C89" w:rsidRDefault="00914C89" w:rsidP="00914C89">
      <w:pPr>
        <w:pStyle w:val="ListParagraph"/>
        <w:numPr>
          <w:ilvl w:val="0"/>
          <w:numId w:val="19"/>
        </w:numPr>
      </w:pPr>
      <w:r w:rsidRPr="00914C89">
        <w:rPr>
          <w:rFonts w:cs="Arial"/>
          <w:i/>
          <w:iCs/>
          <w:color w:val="1A1A1A"/>
        </w:rPr>
        <w:t>If you don't know where you are going, any road will take you there.</w:t>
      </w:r>
    </w:p>
    <w:p w14:paraId="67629DC0" w14:textId="77777777" w:rsidR="00851999" w:rsidRPr="00C310B7" w:rsidRDefault="00851999" w:rsidP="00C310B7"/>
    <w:p w14:paraId="60A48649" w14:textId="597C185D" w:rsidR="00F75D66" w:rsidRPr="00C310B7" w:rsidRDefault="00C328D6" w:rsidP="00C310B7">
      <w:pPr>
        <w:spacing w:before="120"/>
        <w:ind w:left="720"/>
        <w:rPr>
          <w:rFonts w:cs="Verdana"/>
          <w:color w:val="262626"/>
        </w:rPr>
      </w:pPr>
      <w:r w:rsidRPr="006541CA">
        <w:rPr>
          <w:i/>
          <w:sz w:val="26"/>
          <w:szCs w:val="22"/>
        </w:rPr>
        <w:br/>
      </w:r>
    </w:p>
    <w:p w14:paraId="09E8A70E" w14:textId="77777777" w:rsidR="006541CA" w:rsidRPr="006541CA" w:rsidRDefault="006541CA" w:rsidP="002226C7">
      <w:pPr>
        <w:spacing w:before="120"/>
        <w:rPr>
          <w:i/>
          <w:sz w:val="26"/>
          <w:szCs w:val="26"/>
        </w:rPr>
      </w:pPr>
    </w:p>
    <w:p w14:paraId="1AFFFAD5" w14:textId="77777777" w:rsidR="009F6919" w:rsidRPr="009F6919" w:rsidRDefault="009F6919" w:rsidP="009F6919">
      <w:pPr>
        <w:spacing w:before="120"/>
        <w:rPr>
          <w:sz w:val="26"/>
          <w:szCs w:val="22"/>
        </w:rPr>
      </w:pPr>
    </w:p>
    <w:p w14:paraId="37EF3509" w14:textId="77777777" w:rsidR="00410A0C" w:rsidRDefault="00410A0C"/>
    <w:sectPr w:rsidR="00410A0C" w:rsidSect="00A000FF">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6FBDC" w14:textId="77777777" w:rsidR="00F35C85" w:rsidRDefault="00F35C85" w:rsidP="003D40EF">
      <w:r>
        <w:separator/>
      </w:r>
    </w:p>
  </w:endnote>
  <w:endnote w:type="continuationSeparator" w:id="0">
    <w:p w14:paraId="771A1804" w14:textId="77777777" w:rsidR="00F35C85" w:rsidRDefault="00F35C85" w:rsidP="003D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DAC68" w14:textId="77777777" w:rsidR="003D40EF" w:rsidRDefault="003D40EF" w:rsidP="000A45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E6A37" w14:textId="77777777" w:rsidR="003D40EF" w:rsidRDefault="003D40EF" w:rsidP="003D40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FEFC" w14:textId="77777777" w:rsidR="003D40EF" w:rsidRPr="003D40EF" w:rsidRDefault="003D40EF" w:rsidP="003D40EF">
    <w:pPr>
      <w:pStyle w:val="Footer"/>
      <w:framePr w:wrap="none" w:vAnchor="text" w:hAnchor="page" w:x="10522" w:y="-66"/>
      <w:rPr>
        <w:rStyle w:val="PageNumber"/>
        <w:sz w:val="20"/>
        <w:szCs w:val="20"/>
      </w:rPr>
    </w:pPr>
    <w:r w:rsidRPr="003D40EF">
      <w:rPr>
        <w:rStyle w:val="PageNumber"/>
        <w:sz w:val="20"/>
        <w:szCs w:val="20"/>
      </w:rPr>
      <w:fldChar w:fldCharType="begin"/>
    </w:r>
    <w:r w:rsidRPr="003D40EF">
      <w:rPr>
        <w:rStyle w:val="PageNumber"/>
        <w:sz w:val="20"/>
        <w:szCs w:val="20"/>
      </w:rPr>
      <w:instrText xml:space="preserve">PAGE  </w:instrText>
    </w:r>
    <w:r w:rsidRPr="003D40EF">
      <w:rPr>
        <w:rStyle w:val="PageNumber"/>
        <w:sz w:val="20"/>
        <w:szCs w:val="20"/>
      </w:rPr>
      <w:fldChar w:fldCharType="separate"/>
    </w:r>
    <w:r w:rsidR="00F35C85">
      <w:rPr>
        <w:rStyle w:val="PageNumber"/>
        <w:noProof/>
        <w:sz w:val="20"/>
        <w:szCs w:val="20"/>
      </w:rPr>
      <w:t>1</w:t>
    </w:r>
    <w:r w:rsidRPr="003D40EF">
      <w:rPr>
        <w:rStyle w:val="PageNumber"/>
        <w:sz w:val="20"/>
        <w:szCs w:val="20"/>
      </w:rPr>
      <w:fldChar w:fldCharType="end"/>
    </w:r>
  </w:p>
  <w:p w14:paraId="2D66F1A4" w14:textId="77777777" w:rsidR="003D40EF" w:rsidRDefault="003D40EF" w:rsidP="003D40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E3DDD" w14:textId="77777777" w:rsidR="00F35C85" w:rsidRDefault="00F35C85" w:rsidP="003D40EF">
      <w:r>
        <w:separator/>
      </w:r>
    </w:p>
  </w:footnote>
  <w:footnote w:type="continuationSeparator" w:id="0">
    <w:p w14:paraId="538170BE" w14:textId="77777777" w:rsidR="00F35C85" w:rsidRDefault="00F35C85" w:rsidP="003D40EF">
      <w:r>
        <w:continuationSeparator/>
      </w:r>
    </w:p>
  </w:footnote>
  <w:footnote w:id="1">
    <w:p w14:paraId="23480030" w14:textId="0B689E34" w:rsidR="00BC6FBE" w:rsidRDefault="00BC6FBE">
      <w:pPr>
        <w:pStyle w:val="FootnoteText"/>
      </w:pPr>
      <w:r>
        <w:rPr>
          <w:rStyle w:val="FootnoteReference"/>
        </w:rPr>
        <w:footnoteRef/>
      </w:r>
      <w:r>
        <w:t xml:space="preserve"> </w:t>
      </w:r>
      <w:hyperlink r:id="rId1" w:history="1">
        <w:r w:rsidRPr="00BC6FBE">
          <w:rPr>
            <w:rFonts w:cs="Helvetica"/>
            <w:color w:val="274FAD"/>
            <w:sz w:val="21"/>
            <w:szCs w:val="21"/>
          </w:rPr>
          <w:t>OMG Unified Modeling Language (OMG UML), Infrastructure, V2.1.1</w:t>
        </w:r>
      </w:hyperlink>
      <w:r w:rsidRPr="00BC6FBE">
        <w:rPr>
          <w:rFonts w:cs="Helvetica"/>
          <w:color w:val="1C1C1C"/>
          <w:sz w:val="21"/>
          <w:szCs w:val="21"/>
        </w:rPr>
        <w:t xml:space="preserve"> p.158</w:t>
      </w:r>
      <w:r>
        <w:rPr>
          <w:rFonts w:ascii="Helvetica" w:hAnsi="Helvetica" w:cs="Helvetica"/>
          <w:color w:val="1C1C1C"/>
          <w:sz w:val="25"/>
          <w:szCs w:val="25"/>
        </w:rPr>
        <w:t>.</w:t>
      </w:r>
    </w:p>
  </w:footnote>
  <w:footnote w:id="2">
    <w:p w14:paraId="4AC7D1E0" w14:textId="4678C2C0" w:rsidR="0010469F" w:rsidRDefault="0010469F" w:rsidP="0010469F">
      <w:pPr>
        <w:pStyle w:val="FootnoteText"/>
      </w:pPr>
      <w:r>
        <w:rPr>
          <w:rStyle w:val="FootnoteReference"/>
        </w:rPr>
        <w:footnoteRef/>
      </w:r>
      <w:r>
        <w:t xml:space="preserve"> </w:t>
      </w:r>
      <w:r w:rsidRPr="00756F69">
        <w:rPr>
          <w:sz w:val="21"/>
          <w:szCs w:val="21"/>
        </w:rPr>
        <w:t xml:space="preserve">See </w:t>
      </w:r>
      <w:hyperlink r:id="rId2" w:history="1">
        <w:r w:rsidRPr="00756F69">
          <w:rPr>
            <w:rStyle w:val="Hyperlink"/>
            <w:sz w:val="21"/>
            <w:szCs w:val="21"/>
          </w:rPr>
          <w:t>The Structure of DDI 4</w:t>
        </w:r>
      </w:hyperlink>
      <w:r w:rsidRPr="00756F69">
        <w:rPr>
          <w:sz w:val="21"/>
          <w:szCs w:val="21"/>
        </w:rPr>
        <w:t xml:space="preserve"> for an in depth discussion of functional views</w:t>
      </w:r>
      <w:r>
        <w:rPr>
          <w:sz w:val="21"/>
          <w:szCs w:val="21"/>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8E4F46"/>
    <w:multiLevelType w:val="hybridMultilevel"/>
    <w:tmpl w:val="E3FCC4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9E31C8"/>
    <w:multiLevelType w:val="hybridMultilevel"/>
    <w:tmpl w:val="F9FE3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01EB3"/>
    <w:multiLevelType w:val="hybridMultilevel"/>
    <w:tmpl w:val="CD002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3E364C"/>
    <w:multiLevelType w:val="hybridMultilevel"/>
    <w:tmpl w:val="49DE5A1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6A8B"/>
    <w:multiLevelType w:val="hybridMultilevel"/>
    <w:tmpl w:val="355A1D4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2646BD7"/>
    <w:multiLevelType w:val="hybridMultilevel"/>
    <w:tmpl w:val="B4687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8F47B9"/>
    <w:multiLevelType w:val="hybridMultilevel"/>
    <w:tmpl w:val="89201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F6BE4"/>
    <w:multiLevelType w:val="hybridMultilevel"/>
    <w:tmpl w:val="1A941520"/>
    <w:lvl w:ilvl="0" w:tplc="04090001">
      <w:start w:val="1"/>
      <w:numFmt w:val="bullet"/>
      <w:lvlText w:val=""/>
      <w:lvlJc w:val="left"/>
      <w:pPr>
        <w:ind w:left="9360" w:hanging="360"/>
      </w:pPr>
      <w:rPr>
        <w:rFonts w:ascii="Symbol" w:hAnsi="Symbol" w:hint="default"/>
      </w:rPr>
    </w:lvl>
    <w:lvl w:ilvl="1" w:tplc="04090003">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9">
    <w:nsid w:val="3CAF4BAF"/>
    <w:multiLevelType w:val="hybridMultilevel"/>
    <w:tmpl w:val="A02C4D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5D5660"/>
    <w:multiLevelType w:val="hybridMultilevel"/>
    <w:tmpl w:val="B554D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DB1068"/>
    <w:multiLevelType w:val="hybridMultilevel"/>
    <w:tmpl w:val="48DA6A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3E4794"/>
    <w:multiLevelType w:val="hybridMultilevel"/>
    <w:tmpl w:val="7A1031F8"/>
    <w:lvl w:ilvl="0" w:tplc="B1D6F2EA">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49FC1D0B"/>
    <w:multiLevelType w:val="multilevel"/>
    <w:tmpl w:val="0A66526C"/>
    <w:lvl w:ilvl="0">
      <w:start w:val="7"/>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513E7FE5"/>
    <w:multiLevelType w:val="hybridMultilevel"/>
    <w:tmpl w:val="69242B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DD3162"/>
    <w:multiLevelType w:val="hybridMultilevel"/>
    <w:tmpl w:val="CD524FC6"/>
    <w:lvl w:ilvl="0" w:tplc="2DA4517A">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58951E83"/>
    <w:multiLevelType w:val="hybridMultilevel"/>
    <w:tmpl w:val="7ECE1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616EEB"/>
    <w:multiLevelType w:val="hybridMultilevel"/>
    <w:tmpl w:val="006E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1B0FB7"/>
    <w:multiLevelType w:val="hybridMultilevel"/>
    <w:tmpl w:val="528077CE"/>
    <w:lvl w:ilvl="0" w:tplc="6F4C3BEC">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69134B15"/>
    <w:multiLevelType w:val="hybridMultilevel"/>
    <w:tmpl w:val="06EAA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7BC86CEA"/>
    <w:multiLevelType w:val="multilevel"/>
    <w:tmpl w:val="CD002F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9"/>
  </w:num>
  <w:num w:numId="4">
    <w:abstractNumId w:val="17"/>
  </w:num>
  <w:num w:numId="5">
    <w:abstractNumId w:val="9"/>
  </w:num>
  <w:num w:numId="6">
    <w:abstractNumId w:val="1"/>
  </w:num>
  <w:num w:numId="7">
    <w:abstractNumId w:val="8"/>
  </w:num>
  <w:num w:numId="8">
    <w:abstractNumId w:val="5"/>
  </w:num>
  <w:num w:numId="9">
    <w:abstractNumId w:val="18"/>
  </w:num>
  <w:num w:numId="10">
    <w:abstractNumId w:val="12"/>
  </w:num>
  <w:num w:numId="11">
    <w:abstractNumId w:val="14"/>
  </w:num>
  <w:num w:numId="12">
    <w:abstractNumId w:val="15"/>
  </w:num>
  <w:num w:numId="13">
    <w:abstractNumId w:val="7"/>
  </w:num>
  <w:num w:numId="14">
    <w:abstractNumId w:val="13"/>
  </w:num>
  <w:num w:numId="15">
    <w:abstractNumId w:val="6"/>
  </w:num>
  <w:num w:numId="16">
    <w:abstractNumId w:val="4"/>
  </w:num>
  <w:num w:numId="17">
    <w:abstractNumId w:val="16"/>
  </w:num>
  <w:num w:numId="18">
    <w:abstractNumId w:val="2"/>
  </w:num>
  <w:num w:numId="19">
    <w:abstractNumId w:val="3"/>
  </w:num>
  <w:num w:numId="20">
    <w:abstractNumId w:val="10"/>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0C"/>
    <w:rsid w:val="00000E0F"/>
    <w:rsid w:val="00014CFE"/>
    <w:rsid w:val="000224EE"/>
    <w:rsid w:val="0002390A"/>
    <w:rsid w:val="00031B1C"/>
    <w:rsid w:val="00043A6F"/>
    <w:rsid w:val="0006349C"/>
    <w:rsid w:val="00070ABB"/>
    <w:rsid w:val="0008456A"/>
    <w:rsid w:val="000A2CC1"/>
    <w:rsid w:val="000B26E1"/>
    <w:rsid w:val="000B41E2"/>
    <w:rsid w:val="000B7547"/>
    <w:rsid w:val="000D03E6"/>
    <w:rsid w:val="000D42B4"/>
    <w:rsid w:val="00101323"/>
    <w:rsid w:val="001024B4"/>
    <w:rsid w:val="00103089"/>
    <w:rsid w:val="0010469F"/>
    <w:rsid w:val="00144F81"/>
    <w:rsid w:val="00151518"/>
    <w:rsid w:val="00161865"/>
    <w:rsid w:val="0016557D"/>
    <w:rsid w:val="00167C75"/>
    <w:rsid w:val="00181BD2"/>
    <w:rsid w:val="0019551B"/>
    <w:rsid w:val="001B52F6"/>
    <w:rsid w:val="001C1D67"/>
    <w:rsid w:val="001D3D5A"/>
    <w:rsid w:val="001D6F23"/>
    <w:rsid w:val="001F39C3"/>
    <w:rsid w:val="00206572"/>
    <w:rsid w:val="00207415"/>
    <w:rsid w:val="00210D97"/>
    <w:rsid w:val="002226C7"/>
    <w:rsid w:val="00240B45"/>
    <w:rsid w:val="00242B5A"/>
    <w:rsid w:val="00257434"/>
    <w:rsid w:val="00257FF9"/>
    <w:rsid w:val="0028001A"/>
    <w:rsid w:val="00293F3D"/>
    <w:rsid w:val="00296F47"/>
    <w:rsid w:val="002A0F73"/>
    <w:rsid w:val="002A2B36"/>
    <w:rsid w:val="002C0E08"/>
    <w:rsid w:val="002C6FC9"/>
    <w:rsid w:val="002E0195"/>
    <w:rsid w:val="002F72F8"/>
    <w:rsid w:val="00301A79"/>
    <w:rsid w:val="0035589F"/>
    <w:rsid w:val="0037080C"/>
    <w:rsid w:val="0037717F"/>
    <w:rsid w:val="00380838"/>
    <w:rsid w:val="00384911"/>
    <w:rsid w:val="003928B1"/>
    <w:rsid w:val="003C20CB"/>
    <w:rsid w:val="003C3D21"/>
    <w:rsid w:val="003C784B"/>
    <w:rsid w:val="003D1FEF"/>
    <w:rsid w:val="003D40EF"/>
    <w:rsid w:val="003E2DD7"/>
    <w:rsid w:val="00403434"/>
    <w:rsid w:val="0041037E"/>
    <w:rsid w:val="00410A0C"/>
    <w:rsid w:val="00412B87"/>
    <w:rsid w:val="00413CEC"/>
    <w:rsid w:val="00434A55"/>
    <w:rsid w:val="00437E59"/>
    <w:rsid w:val="00461FA4"/>
    <w:rsid w:val="0046234F"/>
    <w:rsid w:val="0048676C"/>
    <w:rsid w:val="00490AAC"/>
    <w:rsid w:val="004A2994"/>
    <w:rsid w:val="004A6E9C"/>
    <w:rsid w:val="004B7D28"/>
    <w:rsid w:val="004C2707"/>
    <w:rsid w:val="004D134A"/>
    <w:rsid w:val="004D61D7"/>
    <w:rsid w:val="004D6EA4"/>
    <w:rsid w:val="004E28F4"/>
    <w:rsid w:val="004E3714"/>
    <w:rsid w:val="004E41BE"/>
    <w:rsid w:val="004F57C1"/>
    <w:rsid w:val="0052057D"/>
    <w:rsid w:val="00557E3B"/>
    <w:rsid w:val="005771F5"/>
    <w:rsid w:val="00580AFB"/>
    <w:rsid w:val="00591A1F"/>
    <w:rsid w:val="00591D00"/>
    <w:rsid w:val="005967E5"/>
    <w:rsid w:val="00596C1B"/>
    <w:rsid w:val="005B3C6E"/>
    <w:rsid w:val="005E685F"/>
    <w:rsid w:val="005F08BD"/>
    <w:rsid w:val="005F7EF1"/>
    <w:rsid w:val="006007CC"/>
    <w:rsid w:val="006104BD"/>
    <w:rsid w:val="0061456B"/>
    <w:rsid w:val="006205AF"/>
    <w:rsid w:val="006541CA"/>
    <w:rsid w:val="00663149"/>
    <w:rsid w:val="00664556"/>
    <w:rsid w:val="006765A0"/>
    <w:rsid w:val="00682D31"/>
    <w:rsid w:val="006B08FB"/>
    <w:rsid w:val="006B1A81"/>
    <w:rsid w:val="006B2416"/>
    <w:rsid w:val="006B6455"/>
    <w:rsid w:val="006C1051"/>
    <w:rsid w:val="006C51BB"/>
    <w:rsid w:val="006C649E"/>
    <w:rsid w:val="006D3C24"/>
    <w:rsid w:val="006E66CB"/>
    <w:rsid w:val="007114DC"/>
    <w:rsid w:val="0072160C"/>
    <w:rsid w:val="00722130"/>
    <w:rsid w:val="007434F5"/>
    <w:rsid w:val="00756F69"/>
    <w:rsid w:val="00763AE7"/>
    <w:rsid w:val="00775B2B"/>
    <w:rsid w:val="00784FBA"/>
    <w:rsid w:val="00792BEE"/>
    <w:rsid w:val="0079389E"/>
    <w:rsid w:val="007A34DA"/>
    <w:rsid w:val="007B0124"/>
    <w:rsid w:val="007B1877"/>
    <w:rsid w:val="007B2669"/>
    <w:rsid w:val="007B39E4"/>
    <w:rsid w:val="007C305B"/>
    <w:rsid w:val="00802994"/>
    <w:rsid w:val="0081368A"/>
    <w:rsid w:val="008163BD"/>
    <w:rsid w:val="008174E2"/>
    <w:rsid w:val="0082349C"/>
    <w:rsid w:val="00824AB4"/>
    <w:rsid w:val="00830604"/>
    <w:rsid w:val="00840BD7"/>
    <w:rsid w:val="0084409E"/>
    <w:rsid w:val="00851999"/>
    <w:rsid w:val="008538DA"/>
    <w:rsid w:val="00853B41"/>
    <w:rsid w:val="008567E2"/>
    <w:rsid w:val="0086641E"/>
    <w:rsid w:val="00896E4E"/>
    <w:rsid w:val="008B0F87"/>
    <w:rsid w:val="008B5216"/>
    <w:rsid w:val="008C5862"/>
    <w:rsid w:val="008F697E"/>
    <w:rsid w:val="00901D2E"/>
    <w:rsid w:val="00904E62"/>
    <w:rsid w:val="00907322"/>
    <w:rsid w:val="0091034C"/>
    <w:rsid w:val="009137B5"/>
    <w:rsid w:val="00914C89"/>
    <w:rsid w:val="00931695"/>
    <w:rsid w:val="0093516B"/>
    <w:rsid w:val="009364EA"/>
    <w:rsid w:val="00940086"/>
    <w:rsid w:val="00946B6A"/>
    <w:rsid w:val="00972655"/>
    <w:rsid w:val="00996CE3"/>
    <w:rsid w:val="009A476B"/>
    <w:rsid w:val="009A5293"/>
    <w:rsid w:val="009B23B3"/>
    <w:rsid w:val="009D0B55"/>
    <w:rsid w:val="009F1820"/>
    <w:rsid w:val="009F6919"/>
    <w:rsid w:val="00A000FF"/>
    <w:rsid w:val="00A21001"/>
    <w:rsid w:val="00A24D32"/>
    <w:rsid w:val="00A266C3"/>
    <w:rsid w:val="00A32B0B"/>
    <w:rsid w:val="00A37F00"/>
    <w:rsid w:val="00A446B4"/>
    <w:rsid w:val="00A521FB"/>
    <w:rsid w:val="00A570B7"/>
    <w:rsid w:val="00A622D9"/>
    <w:rsid w:val="00A707F4"/>
    <w:rsid w:val="00A77550"/>
    <w:rsid w:val="00A7787E"/>
    <w:rsid w:val="00A8392F"/>
    <w:rsid w:val="00A92444"/>
    <w:rsid w:val="00AA2824"/>
    <w:rsid w:val="00AB2923"/>
    <w:rsid w:val="00AD2193"/>
    <w:rsid w:val="00AD74D9"/>
    <w:rsid w:val="00AE64EF"/>
    <w:rsid w:val="00B01C8A"/>
    <w:rsid w:val="00B07C21"/>
    <w:rsid w:val="00B218FA"/>
    <w:rsid w:val="00B22836"/>
    <w:rsid w:val="00B320A4"/>
    <w:rsid w:val="00B445DA"/>
    <w:rsid w:val="00B87A70"/>
    <w:rsid w:val="00BC3F39"/>
    <w:rsid w:val="00BC6802"/>
    <w:rsid w:val="00BC6FBE"/>
    <w:rsid w:val="00BC739E"/>
    <w:rsid w:val="00BE3469"/>
    <w:rsid w:val="00C076D6"/>
    <w:rsid w:val="00C2348B"/>
    <w:rsid w:val="00C310B7"/>
    <w:rsid w:val="00C328D6"/>
    <w:rsid w:val="00C37179"/>
    <w:rsid w:val="00C4727D"/>
    <w:rsid w:val="00C505A1"/>
    <w:rsid w:val="00C620AD"/>
    <w:rsid w:val="00C72AF7"/>
    <w:rsid w:val="00C82076"/>
    <w:rsid w:val="00C84E83"/>
    <w:rsid w:val="00C84F78"/>
    <w:rsid w:val="00C91DC2"/>
    <w:rsid w:val="00C96C91"/>
    <w:rsid w:val="00CA00A5"/>
    <w:rsid w:val="00CB2B47"/>
    <w:rsid w:val="00CB3C30"/>
    <w:rsid w:val="00CC372A"/>
    <w:rsid w:val="00CD31B3"/>
    <w:rsid w:val="00CD34AA"/>
    <w:rsid w:val="00CE22DE"/>
    <w:rsid w:val="00CE33B2"/>
    <w:rsid w:val="00CF23E9"/>
    <w:rsid w:val="00CF2CD4"/>
    <w:rsid w:val="00CF3878"/>
    <w:rsid w:val="00D01E43"/>
    <w:rsid w:val="00D0290E"/>
    <w:rsid w:val="00D06CFD"/>
    <w:rsid w:val="00D132A1"/>
    <w:rsid w:val="00D13D56"/>
    <w:rsid w:val="00D90364"/>
    <w:rsid w:val="00DA57FF"/>
    <w:rsid w:val="00DB6BCD"/>
    <w:rsid w:val="00DC613D"/>
    <w:rsid w:val="00DD7115"/>
    <w:rsid w:val="00E01421"/>
    <w:rsid w:val="00E36580"/>
    <w:rsid w:val="00E46E71"/>
    <w:rsid w:val="00E4765A"/>
    <w:rsid w:val="00E5374F"/>
    <w:rsid w:val="00E64E87"/>
    <w:rsid w:val="00E878E6"/>
    <w:rsid w:val="00E95687"/>
    <w:rsid w:val="00EB4C8A"/>
    <w:rsid w:val="00EC6185"/>
    <w:rsid w:val="00ED090E"/>
    <w:rsid w:val="00EF1231"/>
    <w:rsid w:val="00F12503"/>
    <w:rsid w:val="00F217DA"/>
    <w:rsid w:val="00F35C85"/>
    <w:rsid w:val="00F419F9"/>
    <w:rsid w:val="00F55578"/>
    <w:rsid w:val="00F565AA"/>
    <w:rsid w:val="00F62DFC"/>
    <w:rsid w:val="00F675C5"/>
    <w:rsid w:val="00F7066F"/>
    <w:rsid w:val="00F71631"/>
    <w:rsid w:val="00F75D66"/>
    <w:rsid w:val="00FC233D"/>
    <w:rsid w:val="00FC6EEF"/>
    <w:rsid w:val="00FD76F0"/>
    <w:rsid w:val="00FF6D96"/>
    <w:rsid w:val="00FF7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37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60C"/>
  </w:style>
  <w:style w:type="paragraph" w:styleId="Heading1">
    <w:name w:val="heading 1"/>
    <w:basedOn w:val="Normal"/>
    <w:next w:val="Normal"/>
    <w:link w:val="Heading1Char"/>
    <w:uiPriority w:val="9"/>
    <w:qFormat/>
    <w:rsid w:val="005771F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A0C"/>
    <w:rPr>
      <w:color w:val="0563C1" w:themeColor="hyperlink"/>
      <w:u w:val="single"/>
    </w:rPr>
  </w:style>
  <w:style w:type="paragraph" w:styleId="ListParagraph">
    <w:name w:val="List Paragraph"/>
    <w:basedOn w:val="Normal"/>
    <w:uiPriority w:val="34"/>
    <w:qFormat/>
    <w:rsid w:val="00410A0C"/>
    <w:pPr>
      <w:ind w:left="720"/>
    </w:pPr>
  </w:style>
  <w:style w:type="table" w:styleId="TableGrid">
    <w:name w:val="Table Grid"/>
    <w:basedOn w:val="TableNormal"/>
    <w:uiPriority w:val="39"/>
    <w:rsid w:val="009F1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6F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F2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E5374F"/>
    <w:rPr>
      <w:color w:val="954F72" w:themeColor="followedHyperlink"/>
      <w:u w:val="single"/>
    </w:rPr>
  </w:style>
  <w:style w:type="character" w:customStyle="1" w:styleId="Heading1Char">
    <w:name w:val="Heading 1 Char"/>
    <w:basedOn w:val="DefaultParagraphFont"/>
    <w:link w:val="Heading1"/>
    <w:uiPriority w:val="9"/>
    <w:rsid w:val="005771F5"/>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3D40EF"/>
    <w:pPr>
      <w:tabs>
        <w:tab w:val="center" w:pos="4680"/>
        <w:tab w:val="right" w:pos="9360"/>
      </w:tabs>
    </w:pPr>
  </w:style>
  <w:style w:type="character" w:customStyle="1" w:styleId="FooterChar">
    <w:name w:val="Footer Char"/>
    <w:basedOn w:val="DefaultParagraphFont"/>
    <w:link w:val="Footer"/>
    <w:uiPriority w:val="99"/>
    <w:rsid w:val="003D40EF"/>
  </w:style>
  <w:style w:type="character" w:styleId="PageNumber">
    <w:name w:val="page number"/>
    <w:basedOn w:val="DefaultParagraphFont"/>
    <w:uiPriority w:val="99"/>
    <w:semiHidden/>
    <w:unhideWhenUsed/>
    <w:rsid w:val="003D40EF"/>
  </w:style>
  <w:style w:type="paragraph" w:styleId="Header">
    <w:name w:val="header"/>
    <w:basedOn w:val="Normal"/>
    <w:link w:val="HeaderChar"/>
    <w:uiPriority w:val="99"/>
    <w:unhideWhenUsed/>
    <w:rsid w:val="003D40EF"/>
    <w:pPr>
      <w:tabs>
        <w:tab w:val="center" w:pos="4680"/>
        <w:tab w:val="right" w:pos="9360"/>
      </w:tabs>
    </w:pPr>
  </w:style>
  <w:style w:type="character" w:customStyle="1" w:styleId="HeaderChar">
    <w:name w:val="Header Char"/>
    <w:basedOn w:val="DefaultParagraphFont"/>
    <w:link w:val="Header"/>
    <w:uiPriority w:val="99"/>
    <w:rsid w:val="003D40EF"/>
  </w:style>
  <w:style w:type="paragraph" w:styleId="FootnoteText">
    <w:name w:val="footnote text"/>
    <w:basedOn w:val="Normal"/>
    <w:link w:val="FootnoteTextChar"/>
    <w:uiPriority w:val="99"/>
    <w:unhideWhenUsed/>
    <w:rsid w:val="00BC6FBE"/>
  </w:style>
  <w:style w:type="character" w:customStyle="1" w:styleId="FootnoteTextChar">
    <w:name w:val="Footnote Text Char"/>
    <w:basedOn w:val="DefaultParagraphFont"/>
    <w:link w:val="FootnoteText"/>
    <w:uiPriority w:val="99"/>
    <w:rsid w:val="00BC6FBE"/>
  </w:style>
  <w:style w:type="character" w:styleId="FootnoteReference">
    <w:name w:val="footnote reference"/>
    <w:basedOn w:val="DefaultParagraphFont"/>
    <w:uiPriority w:val="99"/>
    <w:unhideWhenUsed/>
    <w:rsid w:val="00BC6FBE"/>
    <w:rPr>
      <w:vertAlign w:val="superscript"/>
    </w:rPr>
  </w:style>
  <w:style w:type="paragraph" w:styleId="Caption">
    <w:name w:val="caption"/>
    <w:basedOn w:val="Normal"/>
    <w:next w:val="Normal"/>
    <w:uiPriority w:val="35"/>
    <w:unhideWhenUsed/>
    <w:qFormat/>
    <w:rsid w:val="006007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78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www.raird.no/" TargetMode="External"/><Relationship Id="rId47" Type="http://schemas.openxmlformats.org/officeDocument/2006/relationships/hyperlink" Target="http://finance.yahoo.com/news/splunk-showcases-big-data-healthcare-130000152.html" TargetMode="External"/><Relationship Id="rId48" Type="http://schemas.openxmlformats.org/officeDocument/2006/relationships/hyperlink" Target="https://www.google.com/intl/es419/insidesearch/features/search/knowledge.html" TargetMode="External"/><Relationship Id="rId49" Type="http://schemas.openxmlformats.org/officeDocument/2006/relationships/footer" Target="footer1.xml"/><Relationship Id="rId20" Type="http://schemas.openxmlformats.org/officeDocument/2006/relationships/hyperlink" Target="http://www.w3.org/TR/WD-rdf-syntax-971002/" TargetMode="External"/><Relationship Id="rId21" Type="http://schemas.openxmlformats.org/officeDocument/2006/relationships/hyperlink" Target="http://www.w3.org/TeamSubmission/n3/" TargetMode="External"/><Relationship Id="rId22" Type="http://schemas.openxmlformats.org/officeDocument/2006/relationships/hyperlink" Target="https://en.wikipedia.org/wiki/Struct_(C_programming_language)" TargetMode="External"/><Relationship Id="rId23" Type="http://schemas.openxmlformats.org/officeDocument/2006/relationships/hyperlink" Target="http://milicicvuk.com/blog/2014/08/26/can-json-and-rdf-be-friends/" TargetMode="External"/><Relationship Id="rId24" Type="http://schemas.openxmlformats.org/officeDocument/2006/relationships/image" Target="media/image6.png"/><Relationship Id="rId25" Type="http://schemas.openxmlformats.org/officeDocument/2006/relationships/hyperlink" Target="http://milicicvuk.com/blog/2014/08/26/can-json-and-rdf-be-friends/" TargetMode="Externa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yperlink" Target="http://www.openehr.org/releases/trunk/architecture/am/adl2.pdf" TargetMode="External"/><Relationship Id="rId29" Type="http://schemas.openxmlformats.org/officeDocument/2006/relationships/hyperlink" Target="https://www.hl7.org/implement/standards/product_brief.cfm?product_id=186"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9.png"/><Relationship Id="rId31" Type="http://schemas.openxmlformats.org/officeDocument/2006/relationships/hyperlink" Target="https://www.hl7.org/fhir/comparison.html" TargetMode="External"/><Relationship Id="rId32" Type="http://schemas.openxmlformats.org/officeDocument/2006/relationships/hyperlink" Target="https://www.hl7.org/fhir/references.html" TargetMode="Externa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yperlink" Target="http://www.urbandictionary.com/define.php?term=New%20York%20Minute" TargetMode="External"/><Relationship Id="rId8" Type="http://schemas.openxmlformats.org/officeDocument/2006/relationships/hyperlink" Target="https://en.wikipedia.org/wiki/Unified_Modeling_Language"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hyperlink" Target="http://lion.ddialliance.org/package/formatdescription" TargetMode="External"/><Relationship Id="rId11" Type="http://schemas.openxmlformats.org/officeDocument/2006/relationships/hyperlink" Target="http://www.urbandictionary.com/define.php?term=Where%20the%20rubber%20meets%20the%20road"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www.w3.org/TR/tabular-metadata/" TargetMode="External"/><Relationship Id="rId15" Type="http://schemas.openxmlformats.org/officeDocument/2006/relationships/hyperlink" Target="http://lion.ddialliance.org/package/formatdescription" TargetMode="External"/><Relationship Id="rId16" Type="http://schemas.openxmlformats.org/officeDocument/2006/relationships/hyperlink" Target="http://www.urbandictionary.com/define.php?term=%22boiling%20the%20ocean%22" TargetMode="External"/><Relationship Id="rId17" Type="http://schemas.openxmlformats.org/officeDocument/2006/relationships/image" Target="media/image4.png"/><Relationship Id="rId18" Type="http://schemas.openxmlformats.org/officeDocument/2006/relationships/hyperlink" Target="http://www.urbandictionary.com/define.php?term=thunking" TargetMode="External"/><Relationship Id="rId19" Type="http://schemas.openxmlformats.org/officeDocument/2006/relationships/image" Target="media/image5.png"/><Relationship Id="rId37" Type="http://schemas.openxmlformats.org/officeDocument/2006/relationships/hyperlink" Target="https://www.hl7.org/fhir/diagnosticreport.html" TargetMode="External"/><Relationship Id="rId38" Type="http://schemas.openxmlformats.org/officeDocument/2006/relationships/hyperlink" Target="https://www.hl7.org/fhir/condition.html" TargetMode="External"/><Relationship Id="rId39" Type="http://schemas.openxmlformats.org/officeDocument/2006/relationships/hyperlink" Target="https://www.hl7.org/fhir/clinicalimpression.html" TargetMode="External"/><Relationship Id="rId40" Type="http://schemas.openxmlformats.org/officeDocument/2006/relationships/hyperlink" Target="https://www.hl7.org/fhir/allergyintolerance.html" TargetMode="External"/><Relationship Id="rId41" Type="http://schemas.openxmlformats.org/officeDocument/2006/relationships/hyperlink" Target="https://www.hl7.org/fhir/familymemberhistory.html" TargetMode="External"/><Relationship Id="rId42" Type="http://schemas.openxmlformats.org/officeDocument/2006/relationships/hyperlink" Target="https://www.hl7.org/fhir/procedure.html" TargetMode="External"/><Relationship Id="rId43" Type="http://schemas.openxmlformats.org/officeDocument/2006/relationships/hyperlink" Target="https://www.hl7.org/fhir/questionnaire.html" TargetMode="External"/><Relationship Id="rId44" Type="http://schemas.openxmlformats.org/officeDocument/2006/relationships/image" Target="media/image14.png"/><Relationship Id="rId4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omg.org/spec/UML/2.1.2/Infrastructure/PDF" TargetMode="External"/><Relationship Id="rId2" Type="http://schemas.openxmlformats.org/officeDocument/2006/relationships/hyperlink" Target="https://ddi-alliance.atlassian.net/wiki/display/DDI4/Structure+of+DDI+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18</Pages>
  <Words>2941</Words>
  <Characters>16768</Characters>
  <Application>Microsoft Macintosh Word</Application>
  <DocSecurity>0</DocSecurity>
  <Lines>139</Lines>
  <Paragraphs>39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Introduction</vt:lpstr>
      <vt:lpstr>Our Tour</vt:lpstr>
      <vt:lpstr>The Big Picture</vt:lpstr>
      <vt:lpstr>The Big Bang of Data Representation</vt:lpstr>
      <vt:lpstr>The Relational DataStore</vt:lpstr>
      <vt:lpstr>The Data Warehouse DataStore</vt:lpstr>
      <vt:lpstr>Thunking Non-Tabular Data: JSON and RDF</vt:lpstr>
      <vt:lpstr>The openEHR Use Case</vt:lpstr>
      <vt:lpstr>The FHIR Use Case</vt:lpstr>
      <vt:lpstr>Conformance with GSIM</vt:lpstr>
      <vt:lpstr>Afterword</vt:lpstr>
    </vt:vector>
  </TitlesOfParts>
  <LinksUpToDate>false</LinksUpToDate>
  <CharactersWithSpaces>19670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Greenfield</dc:creator>
  <cp:keywords/>
  <dc:description/>
  <cp:lastModifiedBy>Jay Greenfield</cp:lastModifiedBy>
  <cp:revision>9</cp:revision>
  <cp:lastPrinted>2016-09-25T19:09:00Z</cp:lastPrinted>
  <dcterms:created xsi:type="dcterms:W3CDTF">2016-10-11T07:07:00Z</dcterms:created>
  <dcterms:modified xsi:type="dcterms:W3CDTF">2016-10-11T08:59:00Z</dcterms:modified>
</cp:coreProperties>
</file>