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8F" w:rsidRDefault="004F01E8" w:rsidP="004F01E8">
      <w:pPr>
        <w:pStyle w:val="Title"/>
      </w:pPr>
      <w:r>
        <w:t>Licensing and Copyright</w:t>
      </w:r>
    </w:p>
    <w:p w:rsidR="004F01E8" w:rsidRDefault="004F01E8" w:rsidP="004F01E8">
      <w:pPr>
        <w:pStyle w:val="Subtitle"/>
      </w:pPr>
      <w:r>
        <w:t>Technical Committee: 2015-05-</w:t>
      </w:r>
      <w:r w:rsidR="00D66017">
        <w:t>14</w:t>
      </w:r>
      <w:bookmarkStart w:id="0" w:name="_GoBack"/>
      <w:bookmarkEnd w:id="0"/>
    </w:p>
    <w:p w:rsidR="009B4374" w:rsidRPr="009B4374" w:rsidRDefault="009B4374" w:rsidP="009B4374">
      <w:pPr>
        <w:rPr>
          <w:b/>
          <w:i/>
        </w:rPr>
      </w:pPr>
      <w:r w:rsidRPr="009B4374">
        <w:rPr>
          <w:b/>
          <w:i/>
        </w:rPr>
        <w:t>This is not legal advice.</w:t>
      </w:r>
    </w:p>
    <w:p w:rsidR="004F01E8" w:rsidRDefault="004F01E8" w:rsidP="004F01E8">
      <w:pPr>
        <w:pStyle w:val="Heading1"/>
      </w:pPr>
      <w:r>
        <w:t>Background:</w:t>
      </w:r>
    </w:p>
    <w:p w:rsidR="004F01E8" w:rsidRDefault="004F01E8" w:rsidP="004F01E8">
      <w:r>
        <w:t>A number of issues have changed since the last discussion on licensing and copyright within the DDI Alliance. First, documentation is no longer a separate process from the design of the schema. The documentation of DDI 4 or DDI-Lifecycle (MD) is deeply integrated. Information is captured in Drupal and integrated with external information to create all forms of documentation. Therefore the documentation itself comes under the licensing structure. Second, we better understand the needs of the developer community and the implications of various licensing structures on what they can and cannot do with the model, bindings, and documentation published by the DDI Alliance. Finally, developments in the area of licensing have continued to develop and we need to take advantage of new licensing structures that more fully support the needs of our community of users.</w:t>
      </w:r>
    </w:p>
    <w:p w:rsidR="004F01E8" w:rsidRDefault="004F01E8" w:rsidP="004F01E8">
      <w:pPr>
        <w:pStyle w:val="Heading1"/>
      </w:pPr>
      <w:r>
        <w:t>Timeline:</w:t>
      </w:r>
    </w:p>
    <w:p w:rsidR="004F01E8" w:rsidRDefault="004F01E8" w:rsidP="004F01E8">
      <w:r>
        <w:t>We would like this issue to be discussed by the Members Committee on June 1, 2015 and to go before the Executive Board on June 3, 2015. Until a decision has been made we will continue to publish Development Drafts under the LGPL. However, this is not the optimal solution in the long-run.</w:t>
      </w:r>
    </w:p>
    <w:p w:rsidR="004F01E8" w:rsidRDefault="00730F6F" w:rsidP="00730F6F">
      <w:pPr>
        <w:pStyle w:val="Heading1"/>
      </w:pPr>
      <w:r>
        <w:t>Contributor’s Agreement:</w:t>
      </w:r>
    </w:p>
    <w:p w:rsidR="00730F6F" w:rsidRDefault="00730F6F" w:rsidP="004F01E8">
      <w:r>
        <w:t>The DDI Alliance still does not have a comprehensive Contributor’s Agreement. Such an agreement could clarify that contrary to the concept of “the person who made it owns it”</w:t>
      </w:r>
      <w:r w:rsidR="0034140B">
        <w:t>,</w:t>
      </w:r>
      <w:r>
        <w:t xml:space="preserve"> that contributed ideas belong to the DDI Alliance community. </w:t>
      </w:r>
      <w:r w:rsidR="0034140B">
        <w:t>Involvement</w:t>
      </w:r>
      <w:r>
        <w:t xml:space="preserve"> in the development of the specification and related products of the DDI Alliance are owned by the community and not the individual.</w:t>
      </w:r>
      <w:r w:rsidR="00AD28E6">
        <w:t xml:space="preserve"> Individuals could publish papers that have been contributed to the community. </w:t>
      </w:r>
      <w:r>
        <w:t xml:space="preserve">Previous discussions have taken place on this topic and are still relevant. </w:t>
      </w:r>
    </w:p>
    <w:p w:rsidR="00AD28E6" w:rsidRDefault="00AD28E6" w:rsidP="00AD28E6">
      <w:pPr>
        <w:pStyle w:val="Heading1"/>
      </w:pPr>
      <w:r>
        <w:t>License Requirements:</w:t>
      </w:r>
    </w:p>
    <w:p w:rsidR="00AD28E6" w:rsidRDefault="00AD28E6" w:rsidP="00AD28E6">
      <w:r>
        <w:t xml:space="preserve">Many of the requirements for a license remain the same but changes in our user base, the expansion of tools development, and new data sources are raising possibilities for abuse. We wish to encourage the use and development of the standard while protecting it from takeover. </w:t>
      </w:r>
    </w:p>
    <w:p w:rsidR="00AD28E6" w:rsidRDefault="00AD28E6" w:rsidP="00EB20F3">
      <w:pPr>
        <w:pStyle w:val="Heading4"/>
      </w:pPr>
      <w:r>
        <w:t>Derivative works</w:t>
      </w:r>
      <w:r w:rsidR="00A14486">
        <w:t>:</w:t>
      </w:r>
    </w:p>
    <w:p w:rsidR="00896FD1" w:rsidRDefault="004C1E4C" w:rsidP="00AD28E6">
      <w:r>
        <w:t>We want commercial</w:t>
      </w:r>
      <w:r>
        <w:t xml:space="preserve"> enterprises</w:t>
      </w:r>
      <w:r>
        <w:t>, other standards organizations, government agencies, and academic/research institutions to be able to produce derivatives</w:t>
      </w:r>
      <w:r>
        <w:t xml:space="preserve"> and manage their content in any way </w:t>
      </w:r>
      <w:r>
        <w:lastRenderedPageBreak/>
        <w:t>they see fit</w:t>
      </w:r>
      <w:r>
        <w:t xml:space="preserve">.  </w:t>
      </w:r>
      <w:r>
        <w:t>Essentially</w:t>
      </w:r>
      <w:r w:rsidR="00A14486">
        <w:t xml:space="preserve"> we would like to say that anything you get from the DDI standard must be open but you may keep your extensions (derivatives) behind closed doors if you choose to.</w:t>
      </w:r>
      <w:r>
        <w:t xml:space="preserve"> In short, more open than the current </w:t>
      </w:r>
      <w:proofErr w:type="spellStart"/>
      <w:r>
        <w:t>copyleft</w:t>
      </w:r>
      <w:proofErr w:type="spellEnd"/>
      <w:r>
        <w:t xml:space="preserve"> license. </w:t>
      </w:r>
      <w:r w:rsidR="00E758EE">
        <w:t xml:space="preserve">This should require a specification of what is DDI and what is part of the extension. </w:t>
      </w:r>
      <w:r w:rsidR="00A14486">
        <w:t xml:space="preserve">This does not prevent us from strongly encouraging people to contribute </w:t>
      </w:r>
      <w:r w:rsidR="00EB20F3">
        <w:t>to DDI.</w:t>
      </w:r>
      <w:r w:rsidR="00F74280" w:rsidRPr="00F74280">
        <w:t xml:space="preserve"> </w:t>
      </w:r>
      <w:proofErr w:type="spellStart"/>
      <w:r w:rsidR="00F74280">
        <w:t>Copyleft</w:t>
      </w:r>
      <w:proofErr w:type="spellEnd"/>
      <w:r w:rsidR="00F74280">
        <w:t xml:space="preserve"> forces everyone to release content in the same way, i.e. as open source.</w:t>
      </w:r>
      <w:r w:rsidR="009B4374">
        <w:t xml:space="preserve"> </w:t>
      </w:r>
    </w:p>
    <w:p w:rsidR="00EB20F3" w:rsidRDefault="00EB20F3" w:rsidP="00EB20F3">
      <w:pPr>
        <w:pStyle w:val="Heading4"/>
      </w:pPr>
      <w:r>
        <w:t>Collective mark:</w:t>
      </w:r>
    </w:p>
    <w:p w:rsidR="00EB20F3" w:rsidRPr="00EB20F3" w:rsidRDefault="00EB20F3" w:rsidP="00EB20F3">
      <w:r>
        <w:t xml:space="preserve">There may be implications of changing from a copy left approach on the use of the collective mark. If the DDI is modified they can’t call it DDI without the permission of </w:t>
      </w:r>
      <w:r w:rsidR="00F74280">
        <w:t xml:space="preserve">the </w:t>
      </w:r>
      <w:r>
        <w:t>DDI</w:t>
      </w:r>
      <w:r w:rsidR="00F74280">
        <w:t xml:space="preserve"> Alliance</w:t>
      </w:r>
      <w:r>
        <w:t>. A framework for deciding if something is, or is not, DDI will need to be developed. For example some systems support only the study level citation information in DDI-C, use their own structure for all the variable and file content, and then claim to support DDI metadata.</w:t>
      </w:r>
    </w:p>
    <w:p w:rsidR="00EB20F3" w:rsidRDefault="00EB20F3" w:rsidP="00EB20F3">
      <w:pPr>
        <w:pStyle w:val="Heading4"/>
      </w:pPr>
      <w:r>
        <w:t>Use of documentation:</w:t>
      </w:r>
    </w:p>
    <w:p w:rsidR="00EB20F3" w:rsidRDefault="00EB20F3" w:rsidP="00EB20F3">
      <w:r>
        <w:t xml:space="preserve">The preferred approach is to allow commercial use of the documentation with attribution so that tools could present a consistent set of instructions for the use of DDI. </w:t>
      </w:r>
    </w:p>
    <w:p w:rsidR="004C1E4C" w:rsidRDefault="004C1E4C" w:rsidP="004C1E4C">
      <w:pPr>
        <w:pStyle w:val="Heading4"/>
      </w:pPr>
      <w:r>
        <w:t>Intellectual property:</w:t>
      </w:r>
    </w:p>
    <w:p w:rsidR="004C1E4C" w:rsidRPr="004C1E4C" w:rsidRDefault="004C1E4C" w:rsidP="004C1E4C">
      <w:r>
        <w:t xml:space="preserve">The University of Michigan, on behalf of the Alliance, will maintain, protect and license all registered trademarks, certification marks and collective marks or copyright held by it, or held in the name of the Alliance. The DDI Alliance will consult with the University of Michigan in terms of the use of copyright and or license in relation to the publication of DDI Alliance products. </w:t>
      </w:r>
    </w:p>
    <w:p w:rsidR="00C94C8B" w:rsidRDefault="00C94C8B" w:rsidP="00C94C8B">
      <w:pPr>
        <w:pStyle w:val="Heading4"/>
      </w:pPr>
      <w:r>
        <w:t>License options</w:t>
      </w:r>
      <w:r>
        <w:rPr>
          <w:rStyle w:val="FootnoteReference"/>
        </w:rPr>
        <w:footnoteReference w:id="1"/>
      </w:r>
      <w:r>
        <w:t>:</w:t>
      </w:r>
    </w:p>
    <w:p w:rsidR="00C94C8B" w:rsidRDefault="00C94C8B" w:rsidP="00C94C8B">
      <w:pPr>
        <w:pStyle w:val="ListParagraph"/>
        <w:numPr>
          <w:ilvl w:val="0"/>
          <w:numId w:val="1"/>
        </w:numPr>
      </w:pPr>
      <w:r>
        <w:t>MIT: permissive, allows anyone to do anything with your code with proper attribution</w:t>
      </w:r>
      <w:r w:rsidR="00C03AAE">
        <w:t xml:space="preserve"> and no warranty</w:t>
      </w:r>
    </w:p>
    <w:p w:rsidR="00C94C8B" w:rsidRDefault="00C94C8B" w:rsidP="00C94C8B">
      <w:pPr>
        <w:pStyle w:val="ListParagraph"/>
        <w:numPr>
          <w:ilvl w:val="0"/>
          <w:numId w:val="1"/>
        </w:numPr>
      </w:pPr>
      <w:r>
        <w:t>Apache: provides an express grant of patent rights from contributors to users</w:t>
      </w:r>
    </w:p>
    <w:p w:rsidR="00C94C8B" w:rsidRDefault="00C94C8B" w:rsidP="00C94C8B">
      <w:pPr>
        <w:pStyle w:val="ListParagraph"/>
        <w:numPr>
          <w:ilvl w:val="0"/>
          <w:numId w:val="1"/>
        </w:numPr>
      </w:pPr>
      <w:r>
        <w:t xml:space="preserve">GPL: strong </w:t>
      </w:r>
      <w:proofErr w:type="spellStart"/>
      <w:r>
        <w:t>copyleft</w:t>
      </w:r>
      <w:proofErr w:type="spellEnd"/>
      <w:r>
        <w:t xml:space="preserve"> requirement (code must be made available under same license)</w:t>
      </w:r>
    </w:p>
    <w:p w:rsidR="00C94C8B" w:rsidRDefault="00C94C8B" w:rsidP="00C94C8B">
      <w:pPr>
        <w:pStyle w:val="ListParagraph"/>
        <w:numPr>
          <w:ilvl w:val="0"/>
          <w:numId w:val="1"/>
        </w:numPr>
      </w:pPr>
      <w:r>
        <w:t>Mozilla: compromise between BSD and reciprocal GPL license</w:t>
      </w:r>
    </w:p>
    <w:p w:rsidR="00C03AAE" w:rsidRDefault="00C03AAE" w:rsidP="00C94C8B">
      <w:pPr>
        <w:pStyle w:val="ListParagraph"/>
        <w:numPr>
          <w:ilvl w:val="0"/>
          <w:numId w:val="1"/>
        </w:numPr>
      </w:pPr>
      <w:r>
        <w:t>Artistic: used by Perl community requires that modified versions do not prevent users from running the standard version</w:t>
      </w:r>
    </w:p>
    <w:p w:rsidR="00C03AAE" w:rsidRDefault="00C03AAE" w:rsidP="00C94C8B">
      <w:pPr>
        <w:pStyle w:val="ListParagraph"/>
        <w:numPr>
          <w:ilvl w:val="0"/>
          <w:numId w:val="1"/>
        </w:numPr>
      </w:pPr>
      <w:r>
        <w:t xml:space="preserve">Eclipse: commercial-friendly </w:t>
      </w:r>
      <w:proofErr w:type="spellStart"/>
      <w:r>
        <w:t>copyleft</w:t>
      </w:r>
      <w:proofErr w:type="spellEnd"/>
      <w:r>
        <w:t xml:space="preserve"> provides ability of commercially license binaries</w:t>
      </w:r>
    </w:p>
    <w:p w:rsidR="00C03AAE" w:rsidRDefault="00C03AAE" w:rsidP="00C94C8B">
      <w:pPr>
        <w:pStyle w:val="ListParagraph"/>
        <w:numPr>
          <w:ilvl w:val="0"/>
          <w:numId w:val="1"/>
        </w:numPr>
      </w:pPr>
      <w:r>
        <w:t>BSD: functional equivalent of MIT</w:t>
      </w:r>
    </w:p>
    <w:p w:rsidR="00C03AAE" w:rsidRDefault="00C03AAE" w:rsidP="00C94C8B">
      <w:pPr>
        <w:pStyle w:val="ListParagraph"/>
        <w:numPr>
          <w:ilvl w:val="0"/>
          <w:numId w:val="1"/>
        </w:numPr>
      </w:pPr>
      <w:r>
        <w:t>LGPL: requires derived works be licensed under the same license, but works that only link to it do not fall under this restriction</w:t>
      </w:r>
    </w:p>
    <w:p w:rsidR="00C03AAE" w:rsidRDefault="00C03AAE" w:rsidP="00C94C8B">
      <w:pPr>
        <w:pStyle w:val="ListParagraph"/>
        <w:numPr>
          <w:ilvl w:val="0"/>
          <w:numId w:val="1"/>
        </w:numPr>
      </w:pPr>
      <w:r>
        <w:t>Mozilla: a compromise between permissive BSD and reciprocal GPL</w:t>
      </w:r>
    </w:p>
    <w:p w:rsidR="00C03AAE" w:rsidRPr="004C1E4C" w:rsidRDefault="00C03AAE" w:rsidP="004C1E4C">
      <w:pPr>
        <w:pStyle w:val="ListParagraph"/>
        <w:numPr>
          <w:ilvl w:val="0"/>
          <w:numId w:val="1"/>
        </w:numPr>
      </w:pPr>
      <w:r>
        <w:t>CC INTL</w:t>
      </w:r>
      <w:r>
        <w:rPr>
          <w:rStyle w:val="FootnoteReference"/>
        </w:rPr>
        <w:footnoteReference w:id="2"/>
      </w:r>
      <w:r>
        <w:t>: allows adaptations of work to be shared (copy and redistribute) and adapted (remix, transform, and build upon including commercial use). Requires attribution and indication of changes. No warranties.</w:t>
      </w:r>
    </w:p>
    <w:p w:rsidR="00730F6F" w:rsidRDefault="00730F6F" w:rsidP="00EB20F3">
      <w:pPr>
        <w:pStyle w:val="Heading1"/>
      </w:pPr>
      <w:r>
        <w:lastRenderedPageBreak/>
        <w:t>Licens</w:t>
      </w:r>
      <w:r w:rsidR="00EB20F3">
        <w:t>e option</w:t>
      </w:r>
      <w:r>
        <w:t xml:space="preserve"> </w:t>
      </w:r>
      <w:r w:rsidR="00EB20F3">
        <w:t>comparison</w:t>
      </w:r>
      <w:r>
        <w:t>:</w:t>
      </w:r>
    </w:p>
    <w:tbl>
      <w:tblPr>
        <w:tblStyle w:val="TableGrid"/>
        <w:tblW w:w="0" w:type="auto"/>
        <w:tblLook w:val="04A0" w:firstRow="1" w:lastRow="0" w:firstColumn="1" w:lastColumn="0" w:noHBand="0" w:noVBand="1"/>
      </w:tblPr>
      <w:tblGrid>
        <w:gridCol w:w="1487"/>
        <w:gridCol w:w="1114"/>
        <w:gridCol w:w="1122"/>
        <w:gridCol w:w="946"/>
        <w:gridCol w:w="656"/>
        <w:gridCol w:w="848"/>
        <w:gridCol w:w="829"/>
        <w:gridCol w:w="782"/>
        <w:gridCol w:w="876"/>
        <w:gridCol w:w="916"/>
      </w:tblGrid>
      <w:tr w:rsidR="00C94C8B" w:rsidRPr="00C70E66" w:rsidTr="00C03AAE">
        <w:tc>
          <w:tcPr>
            <w:tcW w:w="1487" w:type="dxa"/>
            <w:shd w:val="clear" w:color="auto" w:fill="A6A6A6" w:themeFill="background1" w:themeFillShade="A6"/>
          </w:tcPr>
          <w:p w:rsidR="00847918" w:rsidRPr="00C70E66" w:rsidRDefault="00847918" w:rsidP="0083305D"/>
        </w:tc>
        <w:tc>
          <w:tcPr>
            <w:tcW w:w="1114" w:type="dxa"/>
            <w:shd w:val="clear" w:color="auto" w:fill="A6A6A6" w:themeFill="background1" w:themeFillShade="A6"/>
          </w:tcPr>
          <w:p w:rsidR="00847918" w:rsidRPr="00C70E66" w:rsidRDefault="00847918" w:rsidP="00632675">
            <w:r w:rsidRPr="00C70E66">
              <w:t>MIT License</w:t>
            </w:r>
          </w:p>
        </w:tc>
        <w:tc>
          <w:tcPr>
            <w:tcW w:w="1122" w:type="dxa"/>
            <w:shd w:val="clear" w:color="auto" w:fill="A6A6A6" w:themeFill="background1" w:themeFillShade="A6"/>
          </w:tcPr>
          <w:p w:rsidR="00847918" w:rsidRPr="00C70E66" w:rsidRDefault="00847918" w:rsidP="00632675">
            <w:r w:rsidRPr="00C70E66">
              <w:t>Apache</w:t>
            </w:r>
          </w:p>
        </w:tc>
        <w:tc>
          <w:tcPr>
            <w:tcW w:w="946" w:type="dxa"/>
            <w:shd w:val="clear" w:color="auto" w:fill="A6A6A6" w:themeFill="background1" w:themeFillShade="A6"/>
          </w:tcPr>
          <w:p w:rsidR="00847918" w:rsidRPr="00C70E66" w:rsidRDefault="00847918" w:rsidP="00632675">
            <w:r w:rsidRPr="00C70E66">
              <w:t>LGPL</w:t>
            </w:r>
          </w:p>
        </w:tc>
        <w:tc>
          <w:tcPr>
            <w:tcW w:w="656" w:type="dxa"/>
            <w:shd w:val="clear" w:color="auto" w:fill="A6A6A6" w:themeFill="background1" w:themeFillShade="A6"/>
          </w:tcPr>
          <w:p w:rsidR="00847918" w:rsidRPr="00C70E66" w:rsidRDefault="00847918" w:rsidP="0083305D">
            <w:r>
              <w:t>GPL</w:t>
            </w:r>
          </w:p>
        </w:tc>
        <w:tc>
          <w:tcPr>
            <w:tcW w:w="848" w:type="dxa"/>
            <w:shd w:val="clear" w:color="auto" w:fill="A6A6A6" w:themeFill="background1" w:themeFillShade="A6"/>
          </w:tcPr>
          <w:p w:rsidR="00847918" w:rsidRPr="00C70E66" w:rsidRDefault="00C94C8B" w:rsidP="0083305D">
            <w:r>
              <w:t>Artistic</w:t>
            </w:r>
          </w:p>
        </w:tc>
        <w:tc>
          <w:tcPr>
            <w:tcW w:w="829" w:type="dxa"/>
            <w:shd w:val="clear" w:color="auto" w:fill="A6A6A6" w:themeFill="background1" w:themeFillShade="A6"/>
          </w:tcPr>
          <w:p w:rsidR="00847918" w:rsidRPr="00C70E66" w:rsidRDefault="00C94C8B" w:rsidP="0083305D">
            <w:r>
              <w:t>Eclipse</w:t>
            </w:r>
          </w:p>
        </w:tc>
        <w:tc>
          <w:tcPr>
            <w:tcW w:w="782" w:type="dxa"/>
            <w:shd w:val="clear" w:color="auto" w:fill="A6A6A6" w:themeFill="background1" w:themeFillShade="A6"/>
          </w:tcPr>
          <w:p w:rsidR="00847918" w:rsidRPr="00C70E66" w:rsidRDefault="00C94C8B" w:rsidP="0083305D">
            <w:r>
              <w:t>BSD</w:t>
            </w:r>
          </w:p>
        </w:tc>
        <w:tc>
          <w:tcPr>
            <w:tcW w:w="876" w:type="dxa"/>
            <w:shd w:val="clear" w:color="auto" w:fill="A6A6A6" w:themeFill="background1" w:themeFillShade="A6"/>
          </w:tcPr>
          <w:p w:rsidR="00847918" w:rsidRPr="00C70E66" w:rsidRDefault="00C94C8B" w:rsidP="0083305D">
            <w:r>
              <w:t>Mozilla</w:t>
            </w:r>
          </w:p>
        </w:tc>
        <w:tc>
          <w:tcPr>
            <w:tcW w:w="916" w:type="dxa"/>
            <w:shd w:val="clear" w:color="auto" w:fill="A6A6A6" w:themeFill="background1" w:themeFillShade="A6"/>
          </w:tcPr>
          <w:p w:rsidR="00847918" w:rsidRPr="00C70E66" w:rsidRDefault="00847918" w:rsidP="0083305D">
            <w:r w:rsidRPr="00C70E66">
              <w:t>CC INTL</w:t>
            </w:r>
          </w:p>
        </w:tc>
      </w:tr>
      <w:tr w:rsidR="00C94C8B" w:rsidRPr="00C70E66" w:rsidTr="00C03AAE">
        <w:tc>
          <w:tcPr>
            <w:tcW w:w="1487" w:type="dxa"/>
            <w:shd w:val="clear" w:color="auto" w:fill="D9D9D9" w:themeFill="background1" w:themeFillShade="D9"/>
          </w:tcPr>
          <w:p w:rsidR="00847918" w:rsidRPr="00C70E66" w:rsidRDefault="00847918" w:rsidP="0083305D">
            <w:r w:rsidRPr="00C70E66">
              <w:t>Required</w:t>
            </w:r>
          </w:p>
        </w:tc>
        <w:tc>
          <w:tcPr>
            <w:tcW w:w="1114" w:type="dxa"/>
            <w:shd w:val="clear" w:color="auto" w:fill="D9D9D9" w:themeFill="background1" w:themeFillShade="D9"/>
          </w:tcPr>
          <w:p w:rsidR="00847918" w:rsidRPr="00C70E66" w:rsidRDefault="00847918" w:rsidP="0083305D"/>
        </w:tc>
        <w:tc>
          <w:tcPr>
            <w:tcW w:w="1122" w:type="dxa"/>
            <w:shd w:val="clear" w:color="auto" w:fill="D9D9D9" w:themeFill="background1" w:themeFillShade="D9"/>
          </w:tcPr>
          <w:p w:rsidR="00847918" w:rsidRPr="00C70E66" w:rsidRDefault="00847918" w:rsidP="0083305D"/>
        </w:tc>
        <w:tc>
          <w:tcPr>
            <w:tcW w:w="946" w:type="dxa"/>
            <w:shd w:val="clear" w:color="auto" w:fill="D9D9D9" w:themeFill="background1" w:themeFillShade="D9"/>
          </w:tcPr>
          <w:p w:rsidR="00847918" w:rsidRPr="00C70E66" w:rsidRDefault="00847918" w:rsidP="0083305D"/>
        </w:tc>
        <w:tc>
          <w:tcPr>
            <w:tcW w:w="656" w:type="dxa"/>
            <w:shd w:val="clear" w:color="auto" w:fill="D9D9D9" w:themeFill="background1" w:themeFillShade="D9"/>
          </w:tcPr>
          <w:p w:rsidR="00847918" w:rsidRPr="00C70E66" w:rsidRDefault="00847918" w:rsidP="0083305D"/>
        </w:tc>
        <w:tc>
          <w:tcPr>
            <w:tcW w:w="848" w:type="dxa"/>
            <w:shd w:val="clear" w:color="auto" w:fill="D9D9D9" w:themeFill="background1" w:themeFillShade="D9"/>
          </w:tcPr>
          <w:p w:rsidR="00847918" w:rsidRPr="00C70E66" w:rsidRDefault="00847918" w:rsidP="0083305D"/>
        </w:tc>
        <w:tc>
          <w:tcPr>
            <w:tcW w:w="829" w:type="dxa"/>
            <w:shd w:val="clear" w:color="auto" w:fill="D9D9D9" w:themeFill="background1" w:themeFillShade="D9"/>
          </w:tcPr>
          <w:p w:rsidR="00847918" w:rsidRPr="00C70E66" w:rsidRDefault="00847918" w:rsidP="0083305D"/>
        </w:tc>
        <w:tc>
          <w:tcPr>
            <w:tcW w:w="782" w:type="dxa"/>
            <w:shd w:val="clear" w:color="auto" w:fill="D9D9D9" w:themeFill="background1" w:themeFillShade="D9"/>
          </w:tcPr>
          <w:p w:rsidR="00847918" w:rsidRPr="00C70E66" w:rsidRDefault="00847918" w:rsidP="0083305D"/>
        </w:tc>
        <w:tc>
          <w:tcPr>
            <w:tcW w:w="876" w:type="dxa"/>
            <w:shd w:val="clear" w:color="auto" w:fill="D9D9D9" w:themeFill="background1" w:themeFillShade="D9"/>
          </w:tcPr>
          <w:p w:rsidR="00847918" w:rsidRPr="00C70E66" w:rsidRDefault="00847918" w:rsidP="0083305D"/>
        </w:tc>
        <w:tc>
          <w:tcPr>
            <w:tcW w:w="916" w:type="dxa"/>
            <w:shd w:val="clear" w:color="auto" w:fill="D9D9D9" w:themeFill="background1" w:themeFillShade="D9"/>
          </w:tcPr>
          <w:p w:rsidR="00847918" w:rsidRPr="00C70E66" w:rsidRDefault="00847918" w:rsidP="0083305D"/>
        </w:tc>
      </w:tr>
      <w:tr w:rsidR="00C94C8B" w:rsidRPr="00C70E66" w:rsidTr="00C03AAE">
        <w:tc>
          <w:tcPr>
            <w:tcW w:w="1487" w:type="dxa"/>
          </w:tcPr>
          <w:p w:rsidR="00847918" w:rsidRPr="00C70E66" w:rsidRDefault="00847918" w:rsidP="0083305D">
            <w:r w:rsidRPr="00C70E66">
              <w:t>License CW Notice</w:t>
            </w:r>
          </w:p>
        </w:tc>
        <w:tc>
          <w:tcPr>
            <w:tcW w:w="1114" w:type="dxa"/>
          </w:tcPr>
          <w:p w:rsidR="00847918" w:rsidRPr="00C70E66" w:rsidRDefault="00847918" w:rsidP="0083305D">
            <w:r w:rsidRPr="00C70E66">
              <w:t>X</w:t>
            </w:r>
          </w:p>
        </w:tc>
        <w:tc>
          <w:tcPr>
            <w:tcW w:w="1122" w:type="dxa"/>
          </w:tcPr>
          <w:p w:rsidR="00847918" w:rsidRPr="00C70E66" w:rsidRDefault="00847918" w:rsidP="0083305D">
            <w:r w:rsidRPr="00C70E66">
              <w:t>X</w:t>
            </w:r>
          </w:p>
        </w:tc>
        <w:tc>
          <w:tcPr>
            <w:tcW w:w="946" w:type="dxa"/>
          </w:tcPr>
          <w:p w:rsidR="00847918" w:rsidRPr="00C70E66" w:rsidRDefault="00847918" w:rsidP="0083305D">
            <w:r w:rsidRPr="00C70E66">
              <w:t>X</w:t>
            </w:r>
          </w:p>
        </w:tc>
        <w:tc>
          <w:tcPr>
            <w:tcW w:w="656" w:type="dxa"/>
          </w:tcPr>
          <w:p w:rsidR="00847918" w:rsidRPr="00C70E66" w:rsidRDefault="00847918" w:rsidP="0083305D">
            <w:r>
              <w:t>X</w:t>
            </w:r>
          </w:p>
        </w:tc>
        <w:tc>
          <w:tcPr>
            <w:tcW w:w="848" w:type="dxa"/>
          </w:tcPr>
          <w:p w:rsidR="00847918" w:rsidRPr="00C70E66" w:rsidRDefault="00C94C8B" w:rsidP="0083305D">
            <w:r>
              <w:t>X</w:t>
            </w:r>
          </w:p>
        </w:tc>
        <w:tc>
          <w:tcPr>
            <w:tcW w:w="829" w:type="dxa"/>
          </w:tcPr>
          <w:p w:rsidR="00847918" w:rsidRPr="00C70E66" w:rsidRDefault="00C94C8B" w:rsidP="0083305D">
            <w:r>
              <w:t>X</w:t>
            </w:r>
          </w:p>
        </w:tc>
        <w:tc>
          <w:tcPr>
            <w:tcW w:w="782" w:type="dxa"/>
          </w:tcPr>
          <w:p w:rsidR="00847918" w:rsidRPr="00C70E66" w:rsidRDefault="00C94C8B" w:rsidP="0083305D">
            <w:r>
              <w:t>X</w:t>
            </w:r>
          </w:p>
        </w:tc>
        <w:tc>
          <w:tcPr>
            <w:tcW w:w="876" w:type="dxa"/>
          </w:tcPr>
          <w:p w:rsidR="00847918" w:rsidRPr="00C70E66" w:rsidRDefault="00C94C8B" w:rsidP="0083305D">
            <w:r>
              <w:t>X</w:t>
            </w:r>
          </w:p>
        </w:tc>
        <w:tc>
          <w:tcPr>
            <w:tcW w:w="916" w:type="dxa"/>
          </w:tcPr>
          <w:p w:rsidR="00847918" w:rsidRPr="00C70E66" w:rsidRDefault="00847918" w:rsidP="0083305D"/>
        </w:tc>
      </w:tr>
      <w:tr w:rsidR="00C94C8B" w:rsidRPr="00C70E66" w:rsidTr="00C03AAE">
        <w:tc>
          <w:tcPr>
            <w:tcW w:w="1487" w:type="dxa"/>
          </w:tcPr>
          <w:p w:rsidR="00847918" w:rsidRPr="003B23D3" w:rsidRDefault="00847918" w:rsidP="0083305D">
            <w:pPr>
              <w:rPr>
                <w:color w:val="FF0000"/>
              </w:rPr>
            </w:pPr>
            <w:r w:rsidRPr="003B23D3">
              <w:rPr>
                <w:color w:val="FF0000"/>
              </w:rPr>
              <w:t>State Changes</w:t>
            </w:r>
          </w:p>
        </w:tc>
        <w:tc>
          <w:tcPr>
            <w:tcW w:w="1114" w:type="dxa"/>
          </w:tcPr>
          <w:p w:rsidR="00847918" w:rsidRPr="003B23D3" w:rsidRDefault="00847918" w:rsidP="0083305D">
            <w:pPr>
              <w:rPr>
                <w:color w:val="FF0000"/>
              </w:rPr>
            </w:pPr>
          </w:p>
        </w:tc>
        <w:tc>
          <w:tcPr>
            <w:tcW w:w="1122" w:type="dxa"/>
          </w:tcPr>
          <w:p w:rsidR="00847918" w:rsidRPr="003B23D3" w:rsidRDefault="00847918" w:rsidP="0083305D">
            <w:pPr>
              <w:rPr>
                <w:color w:val="FF0000"/>
              </w:rPr>
            </w:pPr>
            <w:r w:rsidRPr="003B23D3">
              <w:rPr>
                <w:color w:val="FF0000"/>
              </w:rPr>
              <w:t>X</w:t>
            </w:r>
          </w:p>
        </w:tc>
        <w:tc>
          <w:tcPr>
            <w:tcW w:w="946" w:type="dxa"/>
          </w:tcPr>
          <w:p w:rsidR="00847918" w:rsidRPr="003B23D3" w:rsidRDefault="00847918" w:rsidP="0083305D">
            <w:pPr>
              <w:rPr>
                <w:color w:val="FF0000"/>
              </w:rPr>
            </w:pPr>
            <w:r w:rsidRPr="003B23D3">
              <w:rPr>
                <w:color w:val="FF0000"/>
              </w:rPr>
              <w:t>X</w:t>
            </w:r>
          </w:p>
        </w:tc>
        <w:tc>
          <w:tcPr>
            <w:tcW w:w="656" w:type="dxa"/>
          </w:tcPr>
          <w:p w:rsidR="00847918" w:rsidRPr="003B23D3" w:rsidRDefault="00847918" w:rsidP="0083305D">
            <w:pPr>
              <w:rPr>
                <w:color w:val="FF0000"/>
              </w:rPr>
            </w:pPr>
            <w:r w:rsidRPr="003B23D3">
              <w:rPr>
                <w:color w:val="FF0000"/>
              </w:rPr>
              <w:t>X</w:t>
            </w:r>
          </w:p>
        </w:tc>
        <w:tc>
          <w:tcPr>
            <w:tcW w:w="848" w:type="dxa"/>
          </w:tcPr>
          <w:p w:rsidR="00847918" w:rsidRPr="003B23D3" w:rsidRDefault="00C94C8B" w:rsidP="0083305D">
            <w:pPr>
              <w:rPr>
                <w:color w:val="FF0000"/>
              </w:rPr>
            </w:pPr>
            <w:r w:rsidRPr="003B23D3">
              <w:rPr>
                <w:color w:val="FF0000"/>
              </w:rPr>
              <w:t>X</w:t>
            </w:r>
          </w:p>
        </w:tc>
        <w:tc>
          <w:tcPr>
            <w:tcW w:w="829" w:type="dxa"/>
          </w:tcPr>
          <w:p w:rsidR="00847918" w:rsidRPr="003B23D3" w:rsidRDefault="00847918" w:rsidP="0083305D">
            <w:pPr>
              <w:rPr>
                <w:color w:val="FF0000"/>
              </w:rPr>
            </w:pPr>
          </w:p>
        </w:tc>
        <w:tc>
          <w:tcPr>
            <w:tcW w:w="782" w:type="dxa"/>
          </w:tcPr>
          <w:p w:rsidR="00847918" w:rsidRPr="003B23D3" w:rsidRDefault="00847918" w:rsidP="0083305D">
            <w:pPr>
              <w:rPr>
                <w:color w:val="FF0000"/>
              </w:rPr>
            </w:pPr>
          </w:p>
        </w:tc>
        <w:tc>
          <w:tcPr>
            <w:tcW w:w="876" w:type="dxa"/>
          </w:tcPr>
          <w:p w:rsidR="00847918" w:rsidRPr="003B23D3" w:rsidRDefault="00847918" w:rsidP="0083305D">
            <w:pPr>
              <w:rPr>
                <w:color w:val="FF0000"/>
              </w:rPr>
            </w:pPr>
          </w:p>
        </w:tc>
        <w:tc>
          <w:tcPr>
            <w:tcW w:w="916" w:type="dxa"/>
          </w:tcPr>
          <w:p w:rsidR="00847918" w:rsidRPr="003B23D3" w:rsidRDefault="00C03AAE" w:rsidP="0083305D">
            <w:pPr>
              <w:rPr>
                <w:color w:val="FF0000"/>
              </w:rPr>
            </w:pPr>
            <w:r w:rsidRPr="003B23D3">
              <w:rPr>
                <w:color w:val="FF0000"/>
              </w:rPr>
              <w:t>X</w:t>
            </w:r>
          </w:p>
        </w:tc>
      </w:tr>
      <w:tr w:rsidR="00C94C8B" w:rsidRPr="00C70E66" w:rsidTr="00C03AAE">
        <w:tc>
          <w:tcPr>
            <w:tcW w:w="1487" w:type="dxa"/>
          </w:tcPr>
          <w:p w:rsidR="00847918" w:rsidRPr="003B23D3" w:rsidRDefault="00847918" w:rsidP="0083305D">
            <w:pPr>
              <w:rPr>
                <w:color w:val="FF0000"/>
              </w:rPr>
            </w:pPr>
            <w:r w:rsidRPr="003B23D3">
              <w:rPr>
                <w:color w:val="FF0000"/>
              </w:rPr>
              <w:t>Disclosure source</w:t>
            </w:r>
          </w:p>
        </w:tc>
        <w:tc>
          <w:tcPr>
            <w:tcW w:w="1114" w:type="dxa"/>
          </w:tcPr>
          <w:p w:rsidR="00847918" w:rsidRPr="003B23D3" w:rsidRDefault="00847918" w:rsidP="0083305D">
            <w:pPr>
              <w:rPr>
                <w:color w:val="FF0000"/>
              </w:rPr>
            </w:pPr>
          </w:p>
        </w:tc>
        <w:tc>
          <w:tcPr>
            <w:tcW w:w="1122" w:type="dxa"/>
          </w:tcPr>
          <w:p w:rsidR="00847918" w:rsidRPr="003B23D3" w:rsidRDefault="00847918" w:rsidP="0083305D">
            <w:pPr>
              <w:rPr>
                <w:color w:val="FF0000"/>
              </w:rPr>
            </w:pPr>
          </w:p>
        </w:tc>
        <w:tc>
          <w:tcPr>
            <w:tcW w:w="946" w:type="dxa"/>
          </w:tcPr>
          <w:p w:rsidR="00847918" w:rsidRPr="003B23D3" w:rsidRDefault="00847918" w:rsidP="0083305D">
            <w:pPr>
              <w:rPr>
                <w:color w:val="FF0000"/>
              </w:rPr>
            </w:pPr>
            <w:r w:rsidRPr="003B23D3">
              <w:rPr>
                <w:color w:val="FF0000"/>
              </w:rPr>
              <w:t>X</w:t>
            </w:r>
          </w:p>
        </w:tc>
        <w:tc>
          <w:tcPr>
            <w:tcW w:w="656" w:type="dxa"/>
          </w:tcPr>
          <w:p w:rsidR="00847918" w:rsidRPr="003B23D3" w:rsidRDefault="00847918" w:rsidP="0083305D">
            <w:pPr>
              <w:rPr>
                <w:color w:val="FF0000"/>
              </w:rPr>
            </w:pPr>
            <w:r w:rsidRPr="003B23D3">
              <w:rPr>
                <w:color w:val="FF0000"/>
              </w:rPr>
              <w:t>X</w:t>
            </w:r>
          </w:p>
        </w:tc>
        <w:tc>
          <w:tcPr>
            <w:tcW w:w="848" w:type="dxa"/>
          </w:tcPr>
          <w:p w:rsidR="00847918" w:rsidRPr="003B23D3" w:rsidRDefault="00847918" w:rsidP="0083305D">
            <w:pPr>
              <w:rPr>
                <w:color w:val="FF0000"/>
              </w:rPr>
            </w:pPr>
          </w:p>
        </w:tc>
        <w:tc>
          <w:tcPr>
            <w:tcW w:w="829" w:type="dxa"/>
          </w:tcPr>
          <w:p w:rsidR="00847918" w:rsidRPr="003B23D3" w:rsidRDefault="00C94C8B" w:rsidP="0083305D">
            <w:pPr>
              <w:rPr>
                <w:color w:val="FF0000"/>
              </w:rPr>
            </w:pPr>
            <w:r w:rsidRPr="003B23D3">
              <w:rPr>
                <w:color w:val="FF0000"/>
              </w:rPr>
              <w:t>X</w:t>
            </w:r>
          </w:p>
        </w:tc>
        <w:tc>
          <w:tcPr>
            <w:tcW w:w="782" w:type="dxa"/>
          </w:tcPr>
          <w:p w:rsidR="00847918" w:rsidRPr="003B23D3" w:rsidRDefault="00847918" w:rsidP="0083305D">
            <w:pPr>
              <w:rPr>
                <w:color w:val="FF0000"/>
              </w:rPr>
            </w:pPr>
          </w:p>
        </w:tc>
        <w:tc>
          <w:tcPr>
            <w:tcW w:w="876" w:type="dxa"/>
          </w:tcPr>
          <w:p w:rsidR="00847918" w:rsidRPr="003B23D3" w:rsidRDefault="00C94C8B" w:rsidP="0083305D">
            <w:pPr>
              <w:rPr>
                <w:color w:val="FF0000"/>
              </w:rPr>
            </w:pPr>
            <w:r w:rsidRPr="003B23D3">
              <w:rPr>
                <w:color w:val="FF0000"/>
              </w:rPr>
              <w:t>X</w:t>
            </w:r>
          </w:p>
        </w:tc>
        <w:tc>
          <w:tcPr>
            <w:tcW w:w="916" w:type="dxa"/>
          </w:tcPr>
          <w:p w:rsidR="00847918" w:rsidRPr="003B23D3" w:rsidRDefault="00C03AAE" w:rsidP="0083305D">
            <w:pPr>
              <w:rPr>
                <w:color w:val="FF0000"/>
              </w:rPr>
            </w:pPr>
            <w:r w:rsidRPr="003B23D3">
              <w:rPr>
                <w:color w:val="FF0000"/>
              </w:rPr>
              <w:t>X</w:t>
            </w:r>
          </w:p>
        </w:tc>
      </w:tr>
      <w:tr w:rsidR="00C94C8B" w:rsidRPr="00C70E66" w:rsidTr="00C03AAE">
        <w:tc>
          <w:tcPr>
            <w:tcW w:w="1487" w:type="dxa"/>
          </w:tcPr>
          <w:p w:rsidR="00847918" w:rsidRPr="003B23D3" w:rsidRDefault="00847918" w:rsidP="0083305D">
            <w:pPr>
              <w:rPr>
                <w:color w:val="FF0000"/>
              </w:rPr>
            </w:pPr>
            <w:r w:rsidRPr="003B23D3">
              <w:rPr>
                <w:color w:val="FF0000"/>
              </w:rPr>
              <w:t>Attribution</w:t>
            </w:r>
          </w:p>
        </w:tc>
        <w:tc>
          <w:tcPr>
            <w:tcW w:w="1114" w:type="dxa"/>
          </w:tcPr>
          <w:p w:rsidR="00847918" w:rsidRPr="003B23D3" w:rsidRDefault="00847918" w:rsidP="0083305D">
            <w:pPr>
              <w:rPr>
                <w:color w:val="FF0000"/>
              </w:rPr>
            </w:pPr>
          </w:p>
        </w:tc>
        <w:tc>
          <w:tcPr>
            <w:tcW w:w="1122" w:type="dxa"/>
          </w:tcPr>
          <w:p w:rsidR="00847918" w:rsidRPr="003B23D3" w:rsidRDefault="00847918" w:rsidP="0083305D">
            <w:pPr>
              <w:rPr>
                <w:color w:val="FF0000"/>
              </w:rPr>
            </w:pPr>
          </w:p>
        </w:tc>
        <w:tc>
          <w:tcPr>
            <w:tcW w:w="946" w:type="dxa"/>
          </w:tcPr>
          <w:p w:rsidR="00847918" w:rsidRPr="003B23D3" w:rsidRDefault="00847918" w:rsidP="0083305D">
            <w:pPr>
              <w:rPr>
                <w:color w:val="FF0000"/>
              </w:rPr>
            </w:pPr>
          </w:p>
        </w:tc>
        <w:tc>
          <w:tcPr>
            <w:tcW w:w="656" w:type="dxa"/>
          </w:tcPr>
          <w:p w:rsidR="00847918" w:rsidRPr="003B23D3" w:rsidRDefault="00847918" w:rsidP="0083305D">
            <w:pPr>
              <w:rPr>
                <w:color w:val="FF0000"/>
              </w:rPr>
            </w:pPr>
          </w:p>
        </w:tc>
        <w:tc>
          <w:tcPr>
            <w:tcW w:w="848" w:type="dxa"/>
          </w:tcPr>
          <w:p w:rsidR="00847918" w:rsidRPr="003B23D3" w:rsidRDefault="00847918" w:rsidP="0083305D">
            <w:pPr>
              <w:rPr>
                <w:color w:val="FF0000"/>
              </w:rPr>
            </w:pPr>
          </w:p>
        </w:tc>
        <w:tc>
          <w:tcPr>
            <w:tcW w:w="829" w:type="dxa"/>
          </w:tcPr>
          <w:p w:rsidR="00847918" w:rsidRPr="003B23D3" w:rsidRDefault="00847918" w:rsidP="0083305D">
            <w:pPr>
              <w:rPr>
                <w:color w:val="FF0000"/>
              </w:rPr>
            </w:pPr>
          </w:p>
        </w:tc>
        <w:tc>
          <w:tcPr>
            <w:tcW w:w="782" w:type="dxa"/>
          </w:tcPr>
          <w:p w:rsidR="00847918" w:rsidRPr="003B23D3" w:rsidRDefault="00847918" w:rsidP="0083305D">
            <w:pPr>
              <w:rPr>
                <w:color w:val="FF0000"/>
              </w:rPr>
            </w:pPr>
          </w:p>
        </w:tc>
        <w:tc>
          <w:tcPr>
            <w:tcW w:w="876" w:type="dxa"/>
          </w:tcPr>
          <w:p w:rsidR="00847918" w:rsidRPr="003B23D3" w:rsidRDefault="00847918" w:rsidP="0083305D">
            <w:pPr>
              <w:rPr>
                <w:color w:val="FF0000"/>
              </w:rPr>
            </w:pPr>
          </w:p>
        </w:tc>
        <w:tc>
          <w:tcPr>
            <w:tcW w:w="916" w:type="dxa"/>
          </w:tcPr>
          <w:p w:rsidR="00847918" w:rsidRPr="003B23D3" w:rsidRDefault="00847918" w:rsidP="0083305D">
            <w:pPr>
              <w:rPr>
                <w:color w:val="FF0000"/>
              </w:rPr>
            </w:pPr>
            <w:r w:rsidRPr="003B23D3">
              <w:rPr>
                <w:color w:val="FF0000"/>
              </w:rPr>
              <w:t>X</w:t>
            </w:r>
          </w:p>
        </w:tc>
      </w:tr>
      <w:tr w:rsidR="00C94C8B" w:rsidRPr="00C70E66" w:rsidTr="00C03AAE">
        <w:tc>
          <w:tcPr>
            <w:tcW w:w="1487" w:type="dxa"/>
            <w:shd w:val="clear" w:color="auto" w:fill="D9D9D9" w:themeFill="background1" w:themeFillShade="D9"/>
          </w:tcPr>
          <w:p w:rsidR="00847918" w:rsidRPr="00C70E66" w:rsidRDefault="00847918" w:rsidP="0083305D">
            <w:r w:rsidRPr="00C70E66">
              <w:t>Permitted</w:t>
            </w:r>
          </w:p>
        </w:tc>
        <w:tc>
          <w:tcPr>
            <w:tcW w:w="1114" w:type="dxa"/>
            <w:shd w:val="clear" w:color="auto" w:fill="D9D9D9" w:themeFill="background1" w:themeFillShade="D9"/>
          </w:tcPr>
          <w:p w:rsidR="00847918" w:rsidRPr="00C70E66" w:rsidRDefault="00847918" w:rsidP="0083305D"/>
        </w:tc>
        <w:tc>
          <w:tcPr>
            <w:tcW w:w="1122" w:type="dxa"/>
            <w:shd w:val="clear" w:color="auto" w:fill="D9D9D9" w:themeFill="background1" w:themeFillShade="D9"/>
          </w:tcPr>
          <w:p w:rsidR="00847918" w:rsidRPr="00C70E66" w:rsidRDefault="00847918" w:rsidP="0083305D"/>
        </w:tc>
        <w:tc>
          <w:tcPr>
            <w:tcW w:w="946" w:type="dxa"/>
            <w:shd w:val="clear" w:color="auto" w:fill="D9D9D9" w:themeFill="background1" w:themeFillShade="D9"/>
          </w:tcPr>
          <w:p w:rsidR="00847918" w:rsidRPr="00C70E66" w:rsidRDefault="00847918" w:rsidP="0083305D"/>
        </w:tc>
        <w:tc>
          <w:tcPr>
            <w:tcW w:w="656" w:type="dxa"/>
            <w:shd w:val="clear" w:color="auto" w:fill="D9D9D9" w:themeFill="background1" w:themeFillShade="D9"/>
          </w:tcPr>
          <w:p w:rsidR="00847918" w:rsidRPr="00C70E66" w:rsidRDefault="00847918" w:rsidP="0083305D"/>
        </w:tc>
        <w:tc>
          <w:tcPr>
            <w:tcW w:w="848" w:type="dxa"/>
            <w:shd w:val="clear" w:color="auto" w:fill="D9D9D9" w:themeFill="background1" w:themeFillShade="D9"/>
          </w:tcPr>
          <w:p w:rsidR="00847918" w:rsidRPr="00C70E66" w:rsidRDefault="00847918" w:rsidP="0083305D"/>
        </w:tc>
        <w:tc>
          <w:tcPr>
            <w:tcW w:w="829" w:type="dxa"/>
            <w:shd w:val="clear" w:color="auto" w:fill="D9D9D9" w:themeFill="background1" w:themeFillShade="D9"/>
          </w:tcPr>
          <w:p w:rsidR="00847918" w:rsidRPr="00C70E66" w:rsidRDefault="00847918" w:rsidP="0083305D"/>
        </w:tc>
        <w:tc>
          <w:tcPr>
            <w:tcW w:w="782" w:type="dxa"/>
            <w:shd w:val="clear" w:color="auto" w:fill="D9D9D9" w:themeFill="background1" w:themeFillShade="D9"/>
          </w:tcPr>
          <w:p w:rsidR="00847918" w:rsidRPr="00C70E66" w:rsidRDefault="00847918" w:rsidP="0083305D"/>
        </w:tc>
        <w:tc>
          <w:tcPr>
            <w:tcW w:w="876" w:type="dxa"/>
            <w:shd w:val="clear" w:color="auto" w:fill="D9D9D9" w:themeFill="background1" w:themeFillShade="D9"/>
          </w:tcPr>
          <w:p w:rsidR="00847918" w:rsidRPr="00C70E66" w:rsidRDefault="00847918" w:rsidP="0083305D"/>
        </w:tc>
        <w:tc>
          <w:tcPr>
            <w:tcW w:w="916" w:type="dxa"/>
            <w:shd w:val="clear" w:color="auto" w:fill="D9D9D9" w:themeFill="background1" w:themeFillShade="D9"/>
          </w:tcPr>
          <w:p w:rsidR="00847918" w:rsidRPr="00C70E66" w:rsidRDefault="00847918" w:rsidP="0083305D"/>
        </w:tc>
      </w:tr>
      <w:tr w:rsidR="00C94C8B" w:rsidRPr="00C70E66" w:rsidTr="00C03AAE">
        <w:tc>
          <w:tcPr>
            <w:tcW w:w="1487" w:type="dxa"/>
          </w:tcPr>
          <w:p w:rsidR="00847918" w:rsidRPr="003B23D3" w:rsidRDefault="00847918" w:rsidP="0083305D">
            <w:pPr>
              <w:rPr>
                <w:color w:val="FF0000"/>
              </w:rPr>
            </w:pPr>
            <w:r w:rsidRPr="003B23D3">
              <w:rPr>
                <w:color w:val="FF0000"/>
              </w:rPr>
              <w:t>Commercial Use</w:t>
            </w:r>
          </w:p>
        </w:tc>
        <w:tc>
          <w:tcPr>
            <w:tcW w:w="1114" w:type="dxa"/>
          </w:tcPr>
          <w:p w:rsidR="00847918" w:rsidRPr="003B23D3" w:rsidRDefault="00847918" w:rsidP="0083305D">
            <w:pPr>
              <w:rPr>
                <w:color w:val="FF0000"/>
              </w:rPr>
            </w:pPr>
            <w:r w:rsidRPr="003B23D3">
              <w:rPr>
                <w:color w:val="FF0000"/>
              </w:rPr>
              <w:t>X</w:t>
            </w:r>
          </w:p>
        </w:tc>
        <w:tc>
          <w:tcPr>
            <w:tcW w:w="1122" w:type="dxa"/>
          </w:tcPr>
          <w:p w:rsidR="00847918" w:rsidRPr="003B23D3" w:rsidRDefault="00847918" w:rsidP="0083305D">
            <w:pPr>
              <w:rPr>
                <w:color w:val="FF0000"/>
              </w:rPr>
            </w:pPr>
            <w:r w:rsidRPr="003B23D3">
              <w:rPr>
                <w:color w:val="FF0000"/>
              </w:rPr>
              <w:t>X</w:t>
            </w:r>
          </w:p>
        </w:tc>
        <w:tc>
          <w:tcPr>
            <w:tcW w:w="946" w:type="dxa"/>
          </w:tcPr>
          <w:p w:rsidR="00847918" w:rsidRPr="003B23D3" w:rsidRDefault="00847918" w:rsidP="0083305D">
            <w:pPr>
              <w:rPr>
                <w:color w:val="FF0000"/>
              </w:rPr>
            </w:pPr>
            <w:r w:rsidRPr="003B23D3">
              <w:rPr>
                <w:color w:val="FF0000"/>
              </w:rPr>
              <w:t>X</w:t>
            </w:r>
          </w:p>
        </w:tc>
        <w:tc>
          <w:tcPr>
            <w:tcW w:w="656" w:type="dxa"/>
          </w:tcPr>
          <w:p w:rsidR="00847918" w:rsidRPr="003B23D3" w:rsidRDefault="00847918" w:rsidP="0083305D">
            <w:pPr>
              <w:rPr>
                <w:color w:val="FF0000"/>
              </w:rPr>
            </w:pPr>
            <w:r w:rsidRPr="003B23D3">
              <w:rPr>
                <w:color w:val="FF0000"/>
              </w:rPr>
              <w:t>X</w:t>
            </w:r>
          </w:p>
        </w:tc>
        <w:tc>
          <w:tcPr>
            <w:tcW w:w="848" w:type="dxa"/>
          </w:tcPr>
          <w:p w:rsidR="00847918" w:rsidRPr="003B23D3" w:rsidRDefault="00C94C8B" w:rsidP="0083305D">
            <w:pPr>
              <w:rPr>
                <w:color w:val="FF0000"/>
              </w:rPr>
            </w:pPr>
            <w:r w:rsidRPr="003B23D3">
              <w:rPr>
                <w:color w:val="FF0000"/>
              </w:rPr>
              <w:t>X</w:t>
            </w:r>
          </w:p>
        </w:tc>
        <w:tc>
          <w:tcPr>
            <w:tcW w:w="829" w:type="dxa"/>
          </w:tcPr>
          <w:p w:rsidR="00847918" w:rsidRPr="003B23D3" w:rsidRDefault="00C94C8B" w:rsidP="0083305D">
            <w:pPr>
              <w:rPr>
                <w:color w:val="FF0000"/>
              </w:rPr>
            </w:pPr>
            <w:r w:rsidRPr="003B23D3">
              <w:rPr>
                <w:color w:val="FF0000"/>
              </w:rPr>
              <w:t>X</w:t>
            </w:r>
          </w:p>
        </w:tc>
        <w:tc>
          <w:tcPr>
            <w:tcW w:w="782" w:type="dxa"/>
          </w:tcPr>
          <w:p w:rsidR="00847918" w:rsidRPr="003B23D3" w:rsidRDefault="00C94C8B" w:rsidP="0083305D">
            <w:pPr>
              <w:rPr>
                <w:color w:val="FF0000"/>
              </w:rPr>
            </w:pPr>
            <w:r w:rsidRPr="003B23D3">
              <w:rPr>
                <w:color w:val="FF0000"/>
              </w:rPr>
              <w:t>X</w:t>
            </w:r>
          </w:p>
        </w:tc>
        <w:tc>
          <w:tcPr>
            <w:tcW w:w="876" w:type="dxa"/>
          </w:tcPr>
          <w:p w:rsidR="00847918" w:rsidRPr="003B23D3" w:rsidRDefault="00C94C8B" w:rsidP="0083305D">
            <w:pPr>
              <w:rPr>
                <w:color w:val="FF0000"/>
              </w:rPr>
            </w:pPr>
            <w:r w:rsidRPr="003B23D3">
              <w:rPr>
                <w:color w:val="FF0000"/>
              </w:rPr>
              <w:t>X</w:t>
            </w:r>
          </w:p>
        </w:tc>
        <w:tc>
          <w:tcPr>
            <w:tcW w:w="916" w:type="dxa"/>
          </w:tcPr>
          <w:p w:rsidR="00847918" w:rsidRPr="003B23D3" w:rsidRDefault="00C03AAE" w:rsidP="0083305D">
            <w:pPr>
              <w:rPr>
                <w:color w:val="FF0000"/>
              </w:rPr>
            </w:pPr>
            <w:r w:rsidRPr="003B23D3">
              <w:rPr>
                <w:color w:val="FF0000"/>
              </w:rPr>
              <w:t>X</w:t>
            </w:r>
          </w:p>
        </w:tc>
      </w:tr>
      <w:tr w:rsidR="00C94C8B" w:rsidRPr="00C70E66" w:rsidTr="00C03AAE">
        <w:tc>
          <w:tcPr>
            <w:tcW w:w="1487" w:type="dxa"/>
          </w:tcPr>
          <w:p w:rsidR="00847918" w:rsidRPr="003B23D3" w:rsidRDefault="00847918" w:rsidP="0083305D">
            <w:pPr>
              <w:rPr>
                <w:color w:val="FF0000"/>
              </w:rPr>
            </w:pPr>
            <w:r w:rsidRPr="003B23D3">
              <w:rPr>
                <w:color w:val="FF0000"/>
              </w:rPr>
              <w:t>Distribution</w:t>
            </w:r>
          </w:p>
        </w:tc>
        <w:tc>
          <w:tcPr>
            <w:tcW w:w="1114" w:type="dxa"/>
          </w:tcPr>
          <w:p w:rsidR="00847918" w:rsidRPr="003B23D3" w:rsidRDefault="00847918" w:rsidP="0083305D">
            <w:pPr>
              <w:rPr>
                <w:color w:val="FF0000"/>
              </w:rPr>
            </w:pPr>
            <w:r w:rsidRPr="003B23D3">
              <w:rPr>
                <w:color w:val="FF0000"/>
              </w:rPr>
              <w:t>X</w:t>
            </w:r>
          </w:p>
        </w:tc>
        <w:tc>
          <w:tcPr>
            <w:tcW w:w="1122" w:type="dxa"/>
          </w:tcPr>
          <w:p w:rsidR="00847918" w:rsidRPr="003B23D3" w:rsidRDefault="00847918" w:rsidP="0083305D">
            <w:pPr>
              <w:rPr>
                <w:color w:val="FF0000"/>
              </w:rPr>
            </w:pPr>
            <w:r w:rsidRPr="003B23D3">
              <w:rPr>
                <w:color w:val="FF0000"/>
              </w:rPr>
              <w:t>X</w:t>
            </w:r>
          </w:p>
        </w:tc>
        <w:tc>
          <w:tcPr>
            <w:tcW w:w="946" w:type="dxa"/>
          </w:tcPr>
          <w:p w:rsidR="00847918" w:rsidRPr="003B23D3" w:rsidRDefault="00847918" w:rsidP="0083305D">
            <w:pPr>
              <w:rPr>
                <w:color w:val="FF0000"/>
              </w:rPr>
            </w:pPr>
            <w:r w:rsidRPr="003B23D3">
              <w:rPr>
                <w:color w:val="FF0000"/>
              </w:rPr>
              <w:t>X</w:t>
            </w:r>
          </w:p>
        </w:tc>
        <w:tc>
          <w:tcPr>
            <w:tcW w:w="656" w:type="dxa"/>
          </w:tcPr>
          <w:p w:rsidR="00847918" w:rsidRPr="003B23D3" w:rsidRDefault="00847918" w:rsidP="0083305D">
            <w:pPr>
              <w:rPr>
                <w:color w:val="FF0000"/>
              </w:rPr>
            </w:pPr>
            <w:r w:rsidRPr="003B23D3">
              <w:rPr>
                <w:color w:val="FF0000"/>
              </w:rPr>
              <w:t>X</w:t>
            </w:r>
          </w:p>
        </w:tc>
        <w:tc>
          <w:tcPr>
            <w:tcW w:w="848" w:type="dxa"/>
          </w:tcPr>
          <w:p w:rsidR="00847918" w:rsidRPr="003B23D3" w:rsidRDefault="00C94C8B" w:rsidP="0083305D">
            <w:pPr>
              <w:rPr>
                <w:color w:val="FF0000"/>
              </w:rPr>
            </w:pPr>
            <w:r w:rsidRPr="003B23D3">
              <w:rPr>
                <w:color w:val="FF0000"/>
              </w:rPr>
              <w:t>X</w:t>
            </w:r>
          </w:p>
        </w:tc>
        <w:tc>
          <w:tcPr>
            <w:tcW w:w="829" w:type="dxa"/>
          </w:tcPr>
          <w:p w:rsidR="00847918" w:rsidRPr="003B23D3" w:rsidRDefault="00C94C8B" w:rsidP="0083305D">
            <w:pPr>
              <w:rPr>
                <w:color w:val="FF0000"/>
              </w:rPr>
            </w:pPr>
            <w:r w:rsidRPr="003B23D3">
              <w:rPr>
                <w:color w:val="FF0000"/>
              </w:rPr>
              <w:t>X</w:t>
            </w:r>
          </w:p>
        </w:tc>
        <w:tc>
          <w:tcPr>
            <w:tcW w:w="782" w:type="dxa"/>
          </w:tcPr>
          <w:p w:rsidR="00847918" w:rsidRPr="003B23D3" w:rsidRDefault="00C94C8B" w:rsidP="0083305D">
            <w:pPr>
              <w:rPr>
                <w:color w:val="FF0000"/>
              </w:rPr>
            </w:pPr>
            <w:r w:rsidRPr="003B23D3">
              <w:rPr>
                <w:color w:val="FF0000"/>
              </w:rPr>
              <w:t>X</w:t>
            </w:r>
          </w:p>
        </w:tc>
        <w:tc>
          <w:tcPr>
            <w:tcW w:w="876" w:type="dxa"/>
          </w:tcPr>
          <w:p w:rsidR="00847918" w:rsidRPr="003B23D3" w:rsidRDefault="00C94C8B" w:rsidP="0083305D">
            <w:pPr>
              <w:rPr>
                <w:color w:val="FF0000"/>
              </w:rPr>
            </w:pPr>
            <w:r w:rsidRPr="003B23D3">
              <w:rPr>
                <w:color w:val="FF0000"/>
              </w:rPr>
              <w:t>X</w:t>
            </w:r>
          </w:p>
        </w:tc>
        <w:tc>
          <w:tcPr>
            <w:tcW w:w="916" w:type="dxa"/>
          </w:tcPr>
          <w:p w:rsidR="00847918" w:rsidRPr="003B23D3" w:rsidRDefault="00847918" w:rsidP="0083305D">
            <w:pPr>
              <w:rPr>
                <w:color w:val="FF0000"/>
              </w:rPr>
            </w:pPr>
            <w:r w:rsidRPr="003B23D3">
              <w:rPr>
                <w:color w:val="FF0000"/>
              </w:rPr>
              <w:t>X</w:t>
            </w:r>
          </w:p>
        </w:tc>
      </w:tr>
      <w:tr w:rsidR="00C94C8B" w:rsidRPr="00C70E66" w:rsidTr="00C03AAE">
        <w:tc>
          <w:tcPr>
            <w:tcW w:w="1487" w:type="dxa"/>
          </w:tcPr>
          <w:p w:rsidR="00847918" w:rsidRPr="003B23D3" w:rsidRDefault="00847918" w:rsidP="0083305D">
            <w:pPr>
              <w:rPr>
                <w:color w:val="FF0000"/>
              </w:rPr>
            </w:pPr>
            <w:r w:rsidRPr="003B23D3">
              <w:rPr>
                <w:color w:val="FF0000"/>
              </w:rPr>
              <w:t>Modification</w:t>
            </w:r>
          </w:p>
        </w:tc>
        <w:tc>
          <w:tcPr>
            <w:tcW w:w="1114" w:type="dxa"/>
          </w:tcPr>
          <w:p w:rsidR="00847918" w:rsidRPr="003B23D3" w:rsidRDefault="00847918" w:rsidP="0083305D">
            <w:pPr>
              <w:rPr>
                <w:color w:val="FF0000"/>
              </w:rPr>
            </w:pPr>
            <w:r w:rsidRPr="003B23D3">
              <w:rPr>
                <w:color w:val="FF0000"/>
              </w:rPr>
              <w:t>X</w:t>
            </w:r>
          </w:p>
        </w:tc>
        <w:tc>
          <w:tcPr>
            <w:tcW w:w="1122" w:type="dxa"/>
          </w:tcPr>
          <w:p w:rsidR="00847918" w:rsidRPr="003B23D3" w:rsidRDefault="00847918" w:rsidP="0083305D">
            <w:pPr>
              <w:rPr>
                <w:color w:val="FF0000"/>
              </w:rPr>
            </w:pPr>
            <w:r w:rsidRPr="003B23D3">
              <w:rPr>
                <w:color w:val="FF0000"/>
              </w:rPr>
              <w:t>X</w:t>
            </w:r>
          </w:p>
        </w:tc>
        <w:tc>
          <w:tcPr>
            <w:tcW w:w="946" w:type="dxa"/>
          </w:tcPr>
          <w:p w:rsidR="00847918" w:rsidRPr="003B23D3" w:rsidRDefault="00847918" w:rsidP="0083305D">
            <w:pPr>
              <w:rPr>
                <w:color w:val="FF0000"/>
              </w:rPr>
            </w:pPr>
            <w:r w:rsidRPr="003B23D3">
              <w:rPr>
                <w:color w:val="FF0000"/>
              </w:rPr>
              <w:t>X</w:t>
            </w:r>
          </w:p>
        </w:tc>
        <w:tc>
          <w:tcPr>
            <w:tcW w:w="656" w:type="dxa"/>
          </w:tcPr>
          <w:p w:rsidR="00847918" w:rsidRPr="003B23D3" w:rsidRDefault="00847918" w:rsidP="0083305D">
            <w:pPr>
              <w:rPr>
                <w:color w:val="FF0000"/>
              </w:rPr>
            </w:pPr>
            <w:r w:rsidRPr="003B23D3">
              <w:rPr>
                <w:color w:val="FF0000"/>
              </w:rPr>
              <w:t>X</w:t>
            </w:r>
          </w:p>
        </w:tc>
        <w:tc>
          <w:tcPr>
            <w:tcW w:w="848" w:type="dxa"/>
          </w:tcPr>
          <w:p w:rsidR="00847918" w:rsidRPr="003B23D3" w:rsidRDefault="00C94C8B" w:rsidP="0083305D">
            <w:pPr>
              <w:rPr>
                <w:color w:val="FF0000"/>
              </w:rPr>
            </w:pPr>
            <w:r w:rsidRPr="003B23D3">
              <w:rPr>
                <w:color w:val="FF0000"/>
              </w:rPr>
              <w:t>X</w:t>
            </w:r>
          </w:p>
        </w:tc>
        <w:tc>
          <w:tcPr>
            <w:tcW w:w="829" w:type="dxa"/>
          </w:tcPr>
          <w:p w:rsidR="00847918" w:rsidRPr="003B23D3" w:rsidRDefault="00C94C8B" w:rsidP="0083305D">
            <w:pPr>
              <w:rPr>
                <w:color w:val="FF0000"/>
              </w:rPr>
            </w:pPr>
            <w:r w:rsidRPr="003B23D3">
              <w:rPr>
                <w:color w:val="FF0000"/>
              </w:rPr>
              <w:t>X</w:t>
            </w:r>
          </w:p>
        </w:tc>
        <w:tc>
          <w:tcPr>
            <w:tcW w:w="782" w:type="dxa"/>
          </w:tcPr>
          <w:p w:rsidR="00847918" w:rsidRPr="003B23D3" w:rsidRDefault="00C94C8B" w:rsidP="0083305D">
            <w:pPr>
              <w:rPr>
                <w:color w:val="FF0000"/>
              </w:rPr>
            </w:pPr>
            <w:r w:rsidRPr="003B23D3">
              <w:rPr>
                <w:color w:val="FF0000"/>
              </w:rPr>
              <w:t>X</w:t>
            </w:r>
          </w:p>
        </w:tc>
        <w:tc>
          <w:tcPr>
            <w:tcW w:w="876" w:type="dxa"/>
          </w:tcPr>
          <w:p w:rsidR="00847918" w:rsidRPr="003B23D3" w:rsidRDefault="00C94C8B" w:rsidP="0083305D">
            <w:pPr>
              <w:rPr>
                <w:color w:val="FF0000"/>
              </w:rPr>
            </w:pPr>
            <w:r w:rsidRPr="003B23D3">
              <w:rPr>
                <w:color w:val="FF0000"/>
              </w:rPr>
              <w:t>X</w:t>
            </w:r>
          </w:p>
        </w:tc>
        <w:tc>
          <w:tcPr>
            <w:tcW w:w="916" w:type="dxa"/>
          </w:tcPr>
          <w:p w:rsidR="00847918" w:rsidRPr="003B23D3" w:rsidRDefault="00847918" w:rsidP="0083305D">
            <w:pPr>
              <w:rPr>
                <w:color w:val="FF0000"/>
              </w:rPr>
            </w:pPr>
            <w:r w:rsidRPr="003B23D3">
              <w:rPr>
                <w:color w:val="FF0000"/>
              </w:rPr>
              <w:t>X</w:t>
            </w:r>
          </w:p>
        </w:tc>
      </w:tr>
      <w:tr w:rsidR="00C94C8B" w:rsidRPr="00C70E66" w:rsidTr="00C03AAE">
        <w:tc>
          <w:tcPr>
            <w:tcW w:w="1487" w:type="dxa"/>
          </w:tcPr>
          <w:p w:rsidR="00847918" w:rsidRPr="00C70E66" w:rsidRDefault="00847918" w:rsidP="0083305D">
            <w:r w:rsidRPr="00C70E66">
              <w:t>Private Use</w:t>
            </w:r>
          </w:p>
        </w:tc>
        <w:tc>
          <w:tcPr>
            <w:tcW w:w="1114" w:type="dxa"/>
          </w:tcPr>
          <w:p w:rsidR="00847918" w:rsidRPr="00C70E66" w:rsidRDefault="00847918" w:rsidP="0083305D">
            <w:r w:rsidRPr="00C70E66">
              <w:t>X</w:t>
            </w:r>
          </w:p>
        </w:tc>
        <w:tc>
          <w:tcPr>
            <w:tcW w:w="1122" w:type="dxa"/>
          </w:tcPr>
          <w:p w:rsidR="00847918" w:rsidRPr="00C70E66" w:rsidRDefault="00847918" w:rsidP="0083305D">
            <w:r w:rsidRPr="00C70E66">
              <w:t>X</w:t>
            </w:r>
          </w:p>
        </w:tc>
        <w:tc>
          <w:tcPr>
            <w:tcW w:w="946" w:type="dxa"/>
          </w:tcPr>
          <w:p w:rsidR="00847918" w:rsidRPr="00C70E66" w:rsidRDefault="00847918" w:rsidP="0083305D">
            <w:r w:rsidRPr="00C70E66">
              <w:t>X</w:t>
            </w:r>
          </w:p>
        </w:tc>
        <w:tc>
          <w:tcPr>
            <w:tcW w:w="656" w:type="dxa"/>
          </w:tcPr>
          <w:p w:rsidR="00847918" w:rsidRPr="00C70E66" w:rsidRDefault="00847918" w:rsidP="0083305D">
            <w:r>
              <w:t>X</w:t>
            </w:r>
          </w:p>
        </w:tc>
        <w:tc>
          <w:tcPr>
            <w:tcW w:w="848" w:type="dxa"/>
          </w:tcPr>
          <w:p w:rsidR="00847918" w:rsidRPr="00C70E66" w:rsidRDefault="00C94C8B" w:rsidP="0083305D">
            <w:r>
              <w:t>X</w:t>
            </w:r>
          </w:p>
        </w:tc>
        <w:tc>
          <w:tcPr>
            <w:tcW w:w="829" w:type="dxa"/>
          </w:tcPr>
          <w:p w:rsidR="00847918" w:rsidRPr="00C70E66" w:rsidRDefault="00C94C8B" w:rsidP="0083305D">
            <w:r>
              <w:t>X</w:t>
            </w:r>
          </w:p>
        </w:tc>
        <w:tc>
          <w:tcPr>
            <w:tcW w:w="782" w:type="dxa"/>
          </w:tcPr>
          <w:p w:rsidR="00847918" w:rsidRPr="00C70E66" w:rsidRDefault="00C94C8B" w:rsidP="0083305D">
            <w:r>
              <w:t>X</w:t>
            </w:r>
          </w:p>
        </w:tc>
        <w:tc>
          <w:tcPr>
            <w:tcW w:w="876" w:type="dxa"/>
          </w:tcPr>
          <w:p w:rsidR="00847918" w:rsidRPr="00C70E66" w:rsidRDefault="00C94C8B" w:rsidP="0083305D">
            <w:r>
              <w:t>X</w:t>
            </w:r>
          </w:p>
        </w:tc>
        <w:tc>
          <w:tcPr>
            <w:tcW w:w="916" w:type="dxa"/>
          </w:tcPr>
          <w:p w:rsidR="00847918" w:rsidRPr="00C70E66" w:rsidRDefault="00847918" w:rsidP="0083305D"/>
        </w:tc>
      </w:tr>
      <w:tr w:rsidR="00C94C8B" w:rsidRPr="00C70E66" w:rsidTr="00C03AAE">
        <w:tc>
          <w:tcPr>
            <w:tcW w:w="1487" w:type="dxa"/>
          </w:tcPr>
          <w:p w:rsidR="00847918" w:rsidRPr="00C70E66" w:rsidRDefault="00847918" w:rsidP="0083305D">
            <w:r w:rsidRPr="00C70E66">
              <w:t>Sublicensing</w:t>
            </w:r>
          </w:p>
        </w:tc>
        <w:tc>
          <w:tcPr>
            <w:tcW w:w="1114" w:type="dxa"/>
          </w:tcPr>
          <w:p w:rsidR="00847918" w:rsidRPr="00C70E66" w:rsidRDefault="00847918" w:rsidP="0083305D">
            <w:r w:rsidRPr="00C70E66">
              <w:t>X</w:t>
            </w:r>
          </w:p>
        </w:tc>
        <w:tc>
          <w:tcPr>
            <w:tcW w:w="1122" w:type="dxa"/>
          </w:tcPr>
          <w:p w:rsidR="00847918" w:rsidRPr="00C70E66" w:rsidRDefault="00847918" w:rsidP="0083305D">
            <w:r w:rsidRPr="00C70E66">
              <w:t>X</w:t>
            </w:r>
          </w:p>
        </w:tc>
        <w:tc>
          <w:tcPr>
            <w:tcW w:w="946" w:type="dxa"/>
          </w:tcPr>
          <w:p w:rsidR="00847918" w:rsidRPr="00C70E66" w:rsidRDefault="00C94C8B" w:rsidP="0083305D">
            <w:r>
              <w:t>X</w:t>
            </w:r>
          </w:p>
        </w:tc>
        <w:tc>
          <w:tcPr>
            <w:tcW w:w="656" w:type="dxa"/>
          </w:tcPr>
          <w:p w:rsidR="00847918" w:rsidRPr="00C70E66" w:rsidRDefault="00847918" w:rsidP="0083305D"/>
        </w:tc>
        <w:tc>
          <w:tcPr>
            <w:tcW w:w="848" w:type="dxa"/>
          </w:tcPr>
          <w:p w:rsidR="00847918" w:rsidRPr="00C70E66" w:rsidRDefault="00C94C8B" w:rsidP="0083305D">
            <w:r>
              <w:t>X</w:t>
            </w:r>
          </w:p>
        </w:tc>
        <w:tc>
          <w:tcPr>
            <w:tcW w:w="829" w:type="dxa"/>
          </w:tcPr>
          <w:p w:rsidR="00847918" w:rsidRPr="00C70E66" w:rsidRDefault="00C94C8B" w:rsidP="0083305D">
            <w:r>
              <w:t>X</w:t>
            </w:r>
          </w:p>
        </w:tc>
        <w:tc>
          <w:tcPr>
            <w:tcW w:w="782" w:type="dxa"/>
          </w:tcPr>
          <w:p w:rsidR="00847918" w:rsidRPr="00C70E66" w:rsidRDefault="00C94C8B" w:rsidP="0083305D">
            <w:r>
              <w:t>X</w:t>
            </w:r>
          </w:p>
        </w:tc>
        <w:tc>
          <w:tcPr>
            <w:tcW w:w="876" w:type="dxa"/>
          </w:tcPr>
          <w:p w:rsidR="00847918" w:rsidRPr="00C70E66" w:rsidRDefault="00C94C8B" w:rsidP="0083305D">
            <w:r>
              <w:t>X</w:t>
            </w:r>
          </w:p>
        </w:tc>
        <w:tc>
          <w:tcPr>
            <w:tcW w:w="916" w:type="dxa"/>
          </w:tcPr>
          <w:p w:rsidR="00847918" w:rsidRPr="00C70E66" w:rsidRDefault="00847918" w:rsidP="0083305D"/>
        </w:tc>
      </w:tr>
      <w:tr w:rsidR="00C94C8B" w:rsidRPr="00C70E66" w:rsidTr="00C03AAE">
        <w:tc>
          <w:tcPr>
            <w:tcW w:w="1487" w:type="dxa"/>
          </w:tcPr>
          <w:p w:rsidR="00847918" w:rsidRPr="00C70E66" w:rsidRDefault="00847918" w:rsidP="0083305D">
            <w:r w:rsidRPr="00C70E66">
              <w:t>Patent Grant</w:t>
            </w:r>
          </w:p>
        </w:tc>
        <w:tc>
          <w:tcPr>
            <w:tcW w:w="1114" w:type="dxa"/>
          </w:tcPr>
          <w:p w:rsidR="00847918" w:rsidRPr="00C70E66" w:rsidRDefault="00847918" w:rsidP="0083305D"/>
        </w:tc>
        <w:tc>
          <w:tcPr>
            <w:tcW w:w="1122" w:type="dxa"/>
          </w:tcPr>
          <w:p w:rsidR="00847918" w:rsidRPr="00C70E66" w:rsidRDefault="00847918" w:rsidP="0083305D">
            <w:r w:rsidRPr="00C70E66">
              <w:t>X</w:t>
            </w:r>
          </w:p>
        </w:tc>
        <w:tc>
          <w:tcPr>
            <w:tcW w:w="946" w:type="dxa"/>
          </w:tcPr>
          <w:p w:rsidR="00847918" w:rsidRPr="00C70E66" w:rsidRDefault="00847918" w:rsidP="0083305D">
            <w:r w:rsidRPr="00C70E66">
              <w:t>X</w:t>
            </w:r>
          </w:p>
        </w:tc>
        <w:tc>
          <w:tcPr>
            <w:tcW w:w="656" w:type="dxa"/>
          </w:tcPr>
          <w:p w:rsidR="00847918" w:rsidRPr="00C70E66" w:rsidRDefault="00847918" w:rsidP="0083305D">
            <w:r>
              <w:t>X</w:t>
            </w:r>
          </w:p>
        </w:tc>
        <w:tc>
          <w:tcPr>
            <w:tcW w:w="848" w:type="dxa"/>
          </w:tcPr>
          <w:p w:rsidR="00847918" w:rsidRPr="00C70E66" w:rsidRDefault="00847918" w:rsidP="0083305D"/>
        </w:tc>
        <w:tc>
          <w:tcPr>
            <w:tcW w:w="829" w:type="dxa"/>
          </w:tcPr>
          <w:p w:rsidR="00847918" w:rsidRPr="00C70E66" w:rsidRDefault="00C94C8B" w:rsidP="0083305D">
            <w:r>
              <w:t>X</w:t>
            </w:r>
          </w:p>
        </w:tc>
        <w:tc>
          <w:tcPr>
            <w:tcW w:w="782" w:type="dxa"/>
          </w:tcPr>
          <w:p w:rsidR="00847918" w:rsidRPr="00C70E66" w:rsidRDefault="00847918" w:rsidP="0083305D"/>
        </w:tc>
        <w:tc>
          <w:tcPr>
            <w:tcW w:w="876" w:type="dxa"/>
          </w:tcPr>
          <w:p w:rsidR="00847918" w:rsidRPr="00C70E66" w:rsidRDefault="00C94C8B" w:rsidP="0083305D">
            <w:r>
              <w:t>X</w:t>
            </w:r>
          </w:p>
        </w:tc>
        <w:tc>
          <w:tcPr>
            <w:tcW w:w="916" w:type="dxa"/>
          </w:tcPr>
          <w:p w:rsidR="00847918" w:rsidRPr="00C70E66" w:rsidRDefault="00847918" w:rsidP="0083305D"/>
        </w:tc>
      </w:tr>
      <w:tr w:rsidR="00C94C8B" w:rsidRPr="00C70E66" w:rsidTr="00C03AAE">
        <w:tc>
          <w:tcPr>
            <w:tcW w:w="1487" w:type="dxa"/>
            <w:shd w:val="clear" w:color="auto" w:fill="D9D9D9" w:themeFill="background1" w:themeFillShade="D9"/>
          </w:tcPr>
          <w:p w:rsidR="00847918" w:rsidRPr="00C70E66" w:rsidRDefault="00847918" w:rsidP="0083305D">
            <w:r w:rsidRPr="00C70E66">
              <w:t>Forbidden</w:t>
            </w:r>
          </w:p>
        </w:tc>
        <w:tc>
          <w:tcPr>
            <w:tcW w:w="1114" w:type="dxa"/>
            <w:shd w:val="clear" w:color="auto" w:fill="D9D9D9" w:themeFill="background1" w:themeFillShade="D9"/>
          </w:tcPr>
          <w:p w:rsidR="00847918" w:rsidRPr="00C70E66" w:rsidRDefault="00847918" w:rsidP="0083305D"/>
        </w:tc>
        <w:tc>
          <w:tcPr>
            <w:tcW w:w="1122" w:type="dxa"/>
            <w:shd w:val="clear" w:color="auto" w:fill="D9D9D9" w:themeFill="background1" w:themeFillShade="D9"/>
          </w:tcPr>
          <w:p w:rsidR="00847918" w:rsidRPr="00C70E66" w:rsidRDefault="00847918" w:rsidP="0083305D"/>
        </w:tc>
        <w:tc>
          <w:tcPr>
            <w:tcW w:w="946" w:type="dxa"/>
            <w:shd w:val="clear" w:color="auto" w:fill="D9D9D9" w:themeFill="background1" w:themeFillShade="D9"/>
          </w:tcPr>
          <w:p w:rsidR="00847918" w:rsidRPr="00C70E66" w:rsidRDefault="00847918" w:rsidP="0083305D"/>
        </w:tc>
        <w:tc>
          <w:tcPr>
            <w:tcW w:w="656" w:type="dxa"/>
            <w:shd w:val="clear" w:color="auto" w:fill="D9D9D9" w:themeFill="background1" w:themeFillShade="D9"/>
          </w:tcPr>
          <w:p w:rsidR="00847918" w:rsidRPr="00C70E66" w:rsidRDefault="00847918" w:rsidP="0083305D"/>
        </w:tc>
        <w:tc>
          <w:tcPr>
            <w:tcW w:w="848" w:type="dxa"/>
            <w:shd w:val="clear" w:color="auto" w:fill="D9D9D9" w:themeFill="background1" w:themeFillShade="D9"/>
          </w:tcPr>
          <w:p w:rsidR="00847918" w:rsidRPr="00C70E66" w:rsidRDefault="00847918" w:rsidP="0083305D"/>
        </w:tc>
        <w:tc>
          <w:tcPr>
            <w:tcW w:w="829" w:type="dxa"/>
            <w:shd w:val="clear" w:color="auto" w:fill="D9D9D9" w:themeFill="background1" w:themeFillShade="D9"/>
          </w:tcPr>
          <w:p w:rsidR="00847918" w:rsidRPr="00C70E66" w:rsidRDefault="00847918" w:rsidP="0083305D"/>
        </w:tc>
        <w:tc>
          <w:tcPr>
            <w:tcW w:w="782" w:type="dxa"/>
            <w:shd w:val="clear" w:color="auto" w:fill="D9D9D9" w:themeFill="background1" w:themeFillShade="D9"/>
          </w:tcPr>
          <w:p w:rsidR="00847918" w:rsidRPr="00C70E66" w:rsidRDefault="00847918" w:rsidP="0083305D"/>
        </w:tc>
        <w:tc>
          <w:tcPr>
            <w:tcW w:w="876" w:type="dxa"/>
            <w:shd w:val="clear" w:color="auto" w:fill="D9D9D9" w:themeFill="background1" w:themeFillShade="D9"/>
          </w:tcPr>
          <w:p w:rsidR="00847918" w:rsidRPr="00C70E66" w:rsidRDefault="00847918" w:rsidP="0083305D"/>
        </w:tc>
        <w:tc>
          <w:tcPr>
            <w:tcW w:w="916" w:type="dxa"/>
            <w:shd w:val="clear" w:color="auto" w:fill="D9D9D9" w:themeFill="background1" w:themeFillShade="D9"/>
          </w:tcPr>
          <w:p w:rsidR="00847918" w:rsidRPr="00C70E66" w:rsidRDefault="00847918" w:rsidP="0083305D"/>
        </w:tc>
      </w:tr>
      <w:tr w:rsidR="003B23D3" w:rsidRPr="003B23D3" w:rsidTr="00C03AAE">
        <w:tc>
          <w:tcPr>
            <w:tcW w:w="1487" w:type="dxa"/>
          </w:tcPr>
          <w:p w:rsidR="00847918" w:rsidRPr="003B23D3" w:rsidRDefault="00847918" w:rsidP="0083305D">
            <w:pPr>
              <w:rPr>
                <w:color w:val="FF0000"/>
              </w:rPr>
            </w:pPr>
            <w:r w:rsidRPr="003B23D3">
              <w:rPr>
                <w:color w:val="FF0000"/>
              </w:rPr>
              <w:t>Hold Liable</w:t>
            </w:r>
          </w:p>
        </w:tc>
        <w:tc>
          <w:tcPr>
            <w:tcW w:w="1114" w:type="dxa"/>
          </w:tcPr>
          <w:p w:rsidR="00847918" w:rsidRPr="003B23D3" w:rsidRDefault="00847918" w:rsidP="0083305D">
            <w:pPr>
              <w:rPr>
                <w:color w:val="FF0000"/>
              </w:rPr>
            </w:pPr>
            <w:r w:rsidRPr="003B23D3">
              <w:rPr>
                <w:color w:val="FF0000"/>
              </w:rPr>
              <w:t>X</w:t>
            </w:r>
          </w:p>
        </w:tc>
        <w:tc>
          <w:tcPr>
            <w:tcW w:w="1122" w:type="dxa"/>
          </w:tcPr>
          <w:p w:rsidR="00847918" w:rsidRPr="003B23D3" w:rsidRDefault="00847918" w:rsidP="0083305D">
            <w:pPr>
              <w:rPr>
                <w:color w:val="FF0000"/>
              </w:rPr>
            </w:pPr>
            <w:r w:rsidRPr="003B23D3">
              <w:rPr>
                <w:color w:val="FF0000"/>
              </w:rPr>
              <w:t>X</w:t>
            </w:r>
          </w:p>
        </w:tc>
        <w:tc>
          <w:tcPr>
            <w:tcW w:w="946" w:type="dxa"/>
          </w:tcPr>
          <w:p w:rsidR="00847918" w:rsidRPr="003B23D3" w:rsidRDefault="00847918" w:rsidP="0083305D">
            <w:pPr>
              <w:rPr>
                <w:color w:val="FF0000"/>
              </w:rPr>
            </w:pPr>
            <w:r w:rsidRPr="003B23D3">
              <w:rPr>
                <w:color w:val="FF0000"/>
              </w:rPr>
              <w:t>X</w:t>
            </w:r>
          </w:p>
        </w:tc>
        <w:tc>
          <w:tcPr>
            <w:tcW w:w="656" w:type="dxa"/>
          </w:tcPr>
          <w:p w:rsidR="00847918" w:rsidRPr="003B23D3" w:rsidRDefault="00847918" w:rsidP="0083305D">
            <w:pPr>
              <w:rPr>
                <w:color w:val="FF0000"/>
              </w:rPr>
            </w:pPr>
            <w:r w:rsidRPr="003B23D3">
              <w:rPr>
                <w:color w:val="FF0000"/>
              </w:rPr>
              <w:t>X</w:t>
            </w:r>
          </w:p>
        </w:tc>
        <w:tc>
          <w:tcPr>
            <w:tcW w:w="848" w:type="dxa"/>
          </w:tcPr>
          <w:p w:rsidR="00847918" w:rsidRPr="003B23D3" w:rsidRDefault="00C94C8B" w:rsidP="0083305D">
            <w:pPr>
              <w:rPr>
                <w:color w:val="FF0000"/>
              </w:rPr>
            </w:pPr>
            <w:r w:rsidRPr="003B23D3">
              <w:rPr>
                <w:color w:val="FF0000"/>
              </w:rPr>
              <w:t>X</w:t>
            </w:r>
          </w:p>
        </w:tc>
        <w:tc>
          <w:tcPr>
            <w:tcW w:w="829" w:type="dxa"/>
          </w:tcPr>
          <w:p w:rsidR="00847918" w:rsidRPr="003B23D3" w:rsidRDefault="00C94C8B" w:rsidP="0083305D">
            <w:pPr>
              <w:rPr>
                <w:color w:val="FF0000"/>
              </w:rPr>
            </w:pPr>
            <w:r w:rsidRPr="003B23D3">
              <w:rPr>
                <w:color w:val="FF0000"/>
              </w:rPr>
              <w:t>X</w:t>
            </w:r>
          </w:p>
        </w:tc>
        <w:tc>
          <w:tcPr>
            <w:tcW w:w="782" w:type="dxa"/>
          </w:tcPr>
          <w:p w:rsidR="00847918" w:rsidRPr="003B23D3" w:rsidRDefault="00C94C8B" w:rsidP="0083305D">
            <w:pPr>
              <w:rPr>
                <w:color w:val="FF0000"/>
              </w:rPr>
            </w:pPr>
            <w:r w:rsidRPr="003B23D3">
              <w:rPr>
                <w:color w:val="FF0000"/>
              </w:rPr>
              <w:t>X</w:t>
            </w:r>
          </w:p>
        </w:tc>
        <w:tc>
          <w:tcPr>
            <w:tcW w:w="876" w:type="dxa"/>
          </w:tcPr>
          <w:p w:rsidR="00847918" w:rsidRPr="003B23D3" w:rsidRDefault="00847918" w:rsidP="0083305D">
            <w:pPr>
              <w:rPr>
                <w:color w:val="FF0000"/>
              </w:rPr>
            </w:pPr>
          </w:p>
        </w:tc>
        <w:tc>
          <w:tcPr>
            <w:tcW w:w="916" w:type="dxa"/>
          </w:tcPr>
          <w:p w:rsidR="00847918" w:rsidRPr="003B23D3" w:rsidRDefault="00C03AAE" w:rsidP="0083305D">
            <w:pPr>
              <w:rPr>
                <w:color w:val="FF0000"/>
              </w:rPr>
            </w:pPr>
            <w:r w:rsidRPr="003B23D3">
              <w:rPr>
                <w:color w:val="FF0000"/>
              </w:rPr>
              <w:t>X</w:t>
            </w:r>
          </w:p>
        </w:tc>
      </w:tr>
      <w:tr w:rsidR="003B23D3" w:rsidRPr="003B23D3" w:rsidTr="00C03AAE">
        <w:tc>
          <w:tcPr>
            <w:tcW w:w="1487" w:type="dxa"/>
          </w:tcPr>
          <w:p w:rsidR="00847918" w:rsidRPr="003B23D3" w:rsidRDefault="00847918" w:rsidP="0083305D">
            <w:pPr>
              <w:rPr>
                <w:color w:val="FF0000"/>
              </w:rPr>
            </w:pPr>
            <w:r w:rsidRPr="003B23D3">
              <w:rPr>
                <w:color w:val="FF0000"/>
              </w:rPr>
              <w:t>Use trademark</w:t>
            </w:r>
          </w:p>
        </w:tc>
        <w:tc>
          <w:tcPr>
            <w:tcW w:w="1114" w:type="dxa"/>
          </w:tcPr>
          <w:p w:rsidR="00847918" w:rsidRPr="003B23D3" w:rsidRDefault="00847918" w:rsidP="0083305D">
            <w:pPr>
              <w:rPr>
                <w:color w:val="FF0000"/>
              </w:rPr>
            </w:pPr>
          </w:p>
        </w:tc>
        <w:tc>
          <w:tcPr>
            <w:tcW w:w="1122" w:type="dxa"/>
          </w:tcPr>
          <w:p w:rsidR="00847918" w:rsidRPr="003B23D3" w:rsidRDefault="00847918" w:rsidP="0083305D">
            <w:pPr>
              <w:rPr>
                <w:color w:val="FF0000"/>
              </w:rPr>
            </w:pPr>
            <w:r w:rsidRPr="003B23D3">
              <w:rPr>
                <w:color w:val="FF0000"/>
              </w:rPr>
              <w:t>X</w:t>
            </w:r>
          </w:p>
        </w:tc>
        <w:tc>
          <w:tcPr>
            <w:tcW w:w="946" w:type="dxa"/>
          </w:tcPr>
          <w:p w:rsidR="00847918" w:rsidRPr="003B23D3" w:rsidRDefault="00847918" w:rsidP="0083305D">
            <w:pPr>
              <w:rPr>
                <w:color w:val="FF0000"/>
              </w:rPr>
            </w:pPr>
          </w:p>
        </w:tc>
        <w:tc>
          <w:tcPr>
            <w:tcW w:w="656" w:type="dxa"/>
          </w:tcPr>
          <w:p w:rsidR="00847918" w:rsidRPr="003B23D3" w:rsidRDefault="00847918" w:rsidP="0083305D">
            <w:pPr>
              <w:rPr>
                <w:color w:val="FF0000"/>
              </w:rPr>
            </w:pPr>
          </w:p>
        </w:tc>
        <w:tc>
          <w:tcPr>
            <w:tcW w:w="848" w:type="dxa"/>
          </w:tcPr>
          <w:p w:rsidR="00847918" w:rsidRPr="003B23D3" w:rsidRDefault="00C94C8B" w:rsidP="0083305D">
            <w:pPr>
              <w:rPr>
                <w:color w:val="FF0000"/>
              </w:rPr>
            </w:pPr>
            <w:r w:rsidRPr="003B23D3">
              <w:rPr>
                <w:color w:val="FF0000"/>
              </w:rPr>
              <w:t>X</w:t>
            </w:r>
          </w:p>
        </w:tc>
        <w:tc>
          <w:tcPr>
            <w:tcW w:w="829" w:type="dxa"/>
          </w:tcPr>
          <w:p w:rsidR="00847918" w:rsidRPr="003B23D3" w:rsidRDefault="00847918" w:rsidP="0083305D">
            <w:pPr>
              <w:rPr>
                <w:color w:val="FF0000"/>
              </w:rPr>
            </w:pPr>
          </w:p>
        </w:tc>
        <w:tc>
          <w:tcPr>
            <w:tcW w:w="782" w:type="dxa"/>
          </w:tcPr>
          <w:p w:rsidR="00847918" w:rsidRPr="003B23D3" w:rsidRDefault="00847918" w:rsidP="0083305D">
            <w:pPr>
              <w:rPr>
                <w:color w:val="FF0000"/>
              </w:rPr>
            </w:pPr>
          </w:p>
        </w:tc>
        <w:tc>
          <w:tcPr>
            <w:tcW w:w="876" w:type="dxa"/>
          </w:tcPr>
          <w:p w:rsidR="00847918" w:rsidRPr="003B23D3" w:rsidRDefault="00C94C8B" w:rsidP="0083305D">
            <w:pPr>
              <w:rPr>
                <w:color w:val="FF0000"/>
              </w:rPr>
            </w:pPr>
            <w:r w:rsidRPr="003B23D3">
              <w:rPr>
                <w:color w:val="FF0000"/>
              </w:rPr>
              <w:t>X</w:t>
            </w:r>
          </w:p>
        </w:tc>
        <w:tc>
          <w:tcPr>
            <w:tcW w:w="916" w:type="dxa"/>
          </w:tcPr>
          <w:p w:rsidR="00847918" w:rsidRPr="003B23D3" w:rsidRDefault="00847918" w:rsidP="0083305D">
            <w:pPr>
              <w:rPr>
                <w:color w:val="FF0000"/>
              </w:rPr>
            </w:pPr>
          </w:p>
        </w:tc>
      </w:tr>
      <w:tr w:rsidR="00C03AAE" w:rsidRPr="00C70E66" w:rsidTr="00C03AAE">
        <w:tc>
          <w:tcPr>
            <w:tcW w:w="1487" w:type="dxa"/>
          </w:tcPr>
          <w:p w:rsidR="00C94C8B" w:rsidRPr="00C70E66" w:rsidRDefault="00C94C8B" w:rsidP="0083305D">
            <w:r>
              <w:t>Sublicensing</w:t>
            </w:r>
          </w:p>
        </w:tc>
        <w:tc>
          <w:tcPr>
            <w:tcW w:w="1114" w:type="dxa"/>
          </w:tcPr>
          <w:p w:rsidR="00C94C8B" w:rsidRPr="00C70E66" w:rsidRDefault="00C94C8B" w:rsidP="0083305D"/>
        </w:tc>
        <w:tc>
          <w:tcPr>
            <w:tcW w:w="1122" w:type="dxa"/>
          </w:tcPr>
          <w:p w:rsidR="00C94C8B" w:rsidRPr="00C70E66" w:rsidRDefault="00C94C8B" w:rsidP="0083305D"/>
        </w:tc>
        <w:tc>
          <w:tcPr>
            <w:tcW w:w="946" w:type="dxa"/>
          </w:tcPr>
          <w:p w:rsidR="00C94C8B" w:rsidRPr="00C70E66" w:rsidRDefault="00C94C8B" w:rsidP="0083305D"/>
        </w:tc>
        <w:tc>
          <w:tcPr>
            <w:tcW w:w="656" w:type="dxa"/>
          </w:tcPr>
          <w:p w:rsidR="00C94C8B" w:rsidRPr="00C70E66" w:rsidRDefault="00C94C8B" w:rsidP="0083305D">
            <w:r>
              <w:t>x</w:t>
            </w:r>
          </w:p>
        </w:tc>
        <w:tc>
          <w:tcPr>
            <w:tcW w:w="848" w:type="dxa"/>
          </w:tcPr>
          <w:p w:rsidR="00C94C8B" w:rsidRPr="00C70E66" w:rsidRDefault="00C94C8B" w:rsidP="0083305D"/>
        </w:tc>
        <w:tc>
          <w:tcPr>
            <w:tcW w:w="829" w:type="dxa"/>
          </w:tcPr>
          <w:p w:rsidR="00C94C8B" w:rsidRPr="00C70E66" w:rsidRDefault="00C94C8B" w:rsidP="0083305D"/>
        </w:tc>
        <w:tc>
          <w:tcPr>
            <w:tcW w:w="782" w:type="dxa"/>
          </w:tcPr>
          <w:p w:rsidR="00C94C8B" w:rsidRPr="00C70E66" w:rsidRDefault="00C94C8B" w:rsidP="0083305D"/>
        </w:tc>
        <w:tc>
          <w:tcPr>
            <w:tcW w:w="876" w:type="dxa"/>
          </w:tcPr>
          <w:p w:rsidR="00C94C8B" w:rsidRPr="00C70E66" w:rsidRDefault="00C94C8B" w:rsidP="0083305D"/>
        </w:tc>
        <w:tc>
          <w:tcPr>
            <w:tcW w:w="916" w:type="dxa"/>
          </w:tcPr>
          <w:p w:rsidR="00C94C8B" w:rsidRPr="00C70E66" w:rsidRDefault="00C94C8B" w:rsidP="0083305D"/>
        </w:tc>
      </w:tr>
    </w:tbl>
    <w:p w:rsidR="00C03AAE" w:rsidRDefault="003B23D3" w:rsidP="003B23D3">
      <w:r>
        <w:t>*Items in red are those noted as requirements</w:t>
      </w:r>
      <w:r w:rsidR="00C70E66">
        <w:tab/>
      </w:r>
    </w:p>
    <w:p w:rsidR="009B4374" w:rsidRDefault="009B4374" w:rsidP="00C03AAE">
      <w:pPr>
        <w:pStyle w:val="Heading1"/>
      </w:pPr>
      <w:r>
        <w:t>Recommendation:</w:t>
      </w:r>
    </w:p>
    <w:p w:rsidR="009B4374" w:rsidRDefault="009B4374" w:rsidP="009B4374">
      <w:r>
        <w:t>Switch to Creative Commons International:</w:t>
      </w:r>
    </w:p>
    <w:p w:rsidR="009B4374" w:rsidRDefault="009B4374" w:rsidP="009B4374">
      <w:r>
        <w:t>You are free to share and adapt for any purpose, event commercially. You must attribute (give appropriate credit, indicate</w:t>
      </w:r>
    </w:p>
    <w:p w:rsidR="009B4374" w:rsidRDefault="004C1E4C" w:rsidP="009B4374">
      <w:hyperlink r:id="rId9" w:history="1">
        <w:r w:rsidRPr="003724C9">
          <w:rPr>
            <w:rStyle w:val="Hyperlink"/>
          </w:rPr>
          <w:t>http://creativecommons.org/licenses/by/4.0/</w:t>
        </w:r>
      </w:hyperlink>
    </w:p>
    <w:p w:rsidR="004C1E4C" w:rsidRPr="009B4374" w:rsidRDefault="004C1E4C" w:rsidP="009B4374">
      <w:r>
        <w:t xml:space="preserve">CC International addresses all of the </w:t>
      </w:r>
      <w:r w:rsidR="00D66017">
        <w:t>items in red with the exception of the use of the DDI trademark. This is handled by the collective mark. It provides protection and attribution for our content while not dictating how others treat extensions or derivatives of the DDI.</w:t>
      </w:r>
    </w:p>
    <w:p w:rsidR="00896FD1" w:rsidRDefault="00896FD1" w:rsidP="00C03AAE">
      <w:pPr>
        <w:pStyle w:val="Heading1"/>
      </w:pPr>
      <w:r>
        <w:t>Copyright considerations:</w:t>
      </w:r>
    </w:p>
    <w:p w:rsidR="00896FD1" w:rsidRDefault="00896FD1" w:rsidP="00896FD1">
      <w:r>
        <w:t>Copyright should still apply to training materials and be consistent with the recommended copyright in regard to the model and implementations;</w:t>
      </w:r>
      <w:r w:rsidRPr="00896FD1">
        <w:t xml:space="preserve"> </w:t>
      </w:r>
      <w:r>
        <w:t>Creative Commons with attribution, commercial use allowed.</w:t>
      </w:r>
    </w:p>
    <w:p w:rsidR="00896FD1" w:rsidRDefault="00896FD1" w:rsidP="00896FD1">
      <w:r>
        <w:t xml:space="preserve">Tools produced by the Alliance should use a license consistent with that agreed to for the model and implementations. </w:t>
      </w:r>
    </w:p>
    <w:p w:rsidR="00847918" w:rsidRDefault="00847918" w:rsidP="00C03AAE">
      <w:pPr>
        <w:pStyle w:val="Heading1"/>
      </w:pPr>
      <w:r>
        <w:lastRenderedPageBreak/>
        <w:t>Previous Discussion</w:t>
      </w:r>
    </w:p>
    <w:p w:rsidR="00847918" w:rsidRDefault="00847918" w:rsidP="00847918">
      <w:pPr>
        <w:spacing w:after="240" w:line="240" w:lineRule="auto"/>
        <w:rPr>
          <w:rFonts w:eastAsia="Times New Roman" w:cs="Times New Roman"/>
          <w:lang w:eastAsia="en-GB"/>
        </w:rPr>
      </w:pPr>
      <w:r>
        <w:rPr>
          <w:rFonts w:eastAsia="Times New Roman" w:cs="Times New Roman"/>
          <w:lang w:eastAsia="en-GB"/>
        </w:rPr>
        <w:br/>
      </w:r>
      <w:proofErr w:type="gramStart"/>
      <w:r>
        <w:rPr>
          <w:rFonts w:eastAsia="Times New Roman" w:cs="Times New Roman"/>
          <w:lang w:eastAsia="en-GB"/>
        </w:rPr>
        <w:t>a</w:t>
      </w:r>
      <w:proofErr w:type="gramEnd"/>
      <w:r>
        <w:rPr>
          <w:rFonts w:eastAsia="Times New Roman" w:cs="Times New Roman"/>
          <w:lang w:eastAsia="en-GB"/>
        </w:rPr>
        <w:t>. At the Member representative meeting of 2011 in Vancouver</w:t>
      </w:r>
      <w:r>
        <w:rPr>
          <w:rStyle w:val="FootnoteReference"/>
          <w:rFonts w:eastAsia="Times New Roman" w:cs="Times New Roman"/>
          <w:lang w:eastAsia="en-GB"/>
        </w:rPr>
        <w:footnoteReference w:id="3"/>
      </w:r>
      <w:r>
        <w:rPr>
          <w:rFonts w:eastAsia="Times New Roman" w:cs="Times New Roman"/>
          <w:lang w:eastAsia="en-GB"/>
        </w:rPr>
        <w:t>:</w:t>
      </w:r>
    </w:p>
    <w:p w:rsidR="00847918" w:rsidRDefault="00847918" w:rsidP="00847918">
      <w:pPr>
        <w:spacing w:after="240" w:line="240" w:lineRule="auto"/>
        <w:ind w:left="720"/>
        <w:rPr>
          <w:lang w:eastAsia="en-GB"/>
        </w:rPr>
      </w:pPr>
      <w:r>
        <w:rPr>
          <w:lang w:eastAsia="en-GB"/>
        </w:rPr>
        <w:t>“Since there was no consensus on the issue and questions remained on the relationships among the GNU license, copyright, and the Collective mark, it was decided to table the motion for now. The Director will gather additional information from UM and come back to the Committee with a clarifying document.”</w:t>
      </w:r>
    </w:p>
    <w:p w:rsidR="00847918" w:rsidRDefault="00847918" w:rsidP="00847918">
      <w:pPr>
        <w:spacing w:after="0" w:line="240" w:lineRule="auto"/>
        <w:rPr>
          <w:rFonts w:eastAsia="Times New Roman" w:cs="Times New Roman"/>
          <w:lang w:eastAsia="en-GB"/>
        </w:rPr>
      </w:pPr>
      <w:r>
        <w:rPr>
          <w:rFonts w:eastAsia="Times New Roman" w:cs="Times New Roman"/>
          <w:lang w:eastAsia="en-GB"/>
        </w:rPr>
        <w:t>b. At the Washington Member representative meeting in 2012</w:t>
      </w:r>
      <w:r>
        <w:rPr>
          <w:rStyle w:val="FootnoteReference"/>
          <w:rFonts w:eastAsia="Times New Roman" w:cs="Times New Roman"/>
          <w:lang w:eastAsia="en-GB"/>
        </w:rPr>
        <w:footnoteReference w:id="4"/>
      </w:r>
      <w:r>
        <w:rPr>
          <w:rFonts w:eastAsia="Times New Roman" w:cs="Times New Roman"/>
          <w:lang w:eastAsia="en-GB"/>
        </w:rPr>
        <w:t xml:space="preserve">, the following was raised </w:t>
      </w:r>
    </w:p>
    <w:p w:rsidR="00847918" w:rsidRDefault="00847918" w:rsidP="00847918">
      <w:pPr>
        <w:spacing w:after="0" w:line="240" w:lineRule="auto"/>
        <w:ind w:left="720"/>
        <w:rPr>
          <w:rFonts w:eastAsia="Times New Roman" w:cs="Times New Roman"/>
          <w:lang w:eastAsia="en-GB"/>
        </w:rPr>
      </w:pPr>
      <w:r>
        <w:rPr>
          <w:rFonts w:eastAsia="Times New Roman" w:cs="Times New Roman"/>
          <w:lang w:eastAsia="en-GB"/>
        </w:rPr>
        <w:br/>
        <w:t>"Having the distribution of the standard be free is very important but modifying it and claiming to be the owner of it is not permitted."</w:t>
      </w:r>
    </w:p>
    <w:p w:rsidR="00847918" w:rsidRDefault="00847918" w:rsidP="00847918">
      <w:pPr>
        <w:spacing w:after="0" w:line="240" w:lineRule="auto"/>
        <w:ind w:left="720"/>
        <w:rPr>
          <w:rFonts w:eastAsia="Times New Roman" w:cs="Times New Roman"/>
          <w:lang w:eastAsia="en-GB"/>
        </w:rPr>
      </w:pPr>
    </w:p>
    <w:p w:rsidR="00847918" w:rsidRDefault="00847918" w:rsidP="00847918">
      <w:pPr>
        <w:spacing w:after="0" w:line="240" w:lineRule="auto"/>
        <w:rPr>
          <w:rFonts w:eastAsia="Times New Roman" w:cs="Times New Roman"/>
          <w:lang w:eastAsia="en-GB"/>
        </w:rPr>
      </w:pPr>
      <w:r>
        <w:rPr>
          <w:rFonts w:eastAsia="Times New Roman" w:cs="Times New Roman"/>
          <w:lang w:eastAsia="en-GB"/>
        </w:rPr>
        <w:t>It was decided</w:t>
      </w:r>
      <w:r>
        <w:rPr>
          <w:rFonts w:eastAsia="Times New Roman" w:cs="Times New Roman"/>
          <w:lang w:eastAsia="en-GB"/>
        </w:rPr>
        <w:br/>
      </w:r>
    </w:p>
    <w:p w:rsidR="00847918" w:rsidRDefault="00847918" w:rsidP="00847918">
      <w:pPr>
        <w:spacing w:after="0" w:line="240" w:lineRule="auto"/>
        <w:ind w:left="720"/>
        <w:rPr>
          <w:rFonts w:eastAsia="Times New Roman" w:cs="Arial"/>
          <w:lang w:eastAsia="en-GB"/>
        </w:rPr>
      </w:pPr>
      <w:r>
        <w:rPr>
          <w:rFonts w:eastAsia="Times New Roman" w:cs="Times New Roman"/>
          <w:lang w:eastAsia="en-GB"/>
        </w:rPr>
        <w:t xml:space="preserve">"A subgroup of the Technical Implementation Committee (TIC) should hammer out how </w:t>
      </w:r>
      <w:r>
        <w:rPr>
          <w:rFonts w:eastAsia="Times New Roman" w:cs="Arial"/>
          <w:lang w:eastAsia="en-GB"/>
        </w:rPr>
        <w:t>we interact with software vendors around DDI compliance"</w:t>
      </w:r>
    </w:p>
    <w:p w:rsidR="00847918" w:rsidRDefault="00847918" w:rsidP="00847918">
      <w:pPr>
        <w:spacing w:after="0" w:line="240" w:lineRule="auto"/>
        <w:rPr>
          <w:rFonts w:eastAsia="Times New Roman" w:cs="Times New Roman"/>
          <w:lang w:eastAsia="en-GB"/>
        </w:rPr>
      </w:pPr>
    </w:p>
    <w:p w:rsidR="00847918" w:rsidRDefault="00847918" w:rsidP="00847918">
      <w:pPr>
        <w:spacing w:after="0" w:line="240" w:lineRule="auto"/>
        <w:rPr>
          <w:rFonts w:eastAsia="Times New Roman" w:cs="Times New Roman"/>
          <w:lang w:eastAsia="en-GB"/>
        </w:rPr>
      </w:pPr>
      <w:r>
        <w:rPr>
          <w:rFonts w:eastAsia="Times New Roman" w:cs="Times New Roman"/>
          <w:lang w:eastAsia="en-GB"/>
        </w:rPr>
        <w:t xml:space="preserve">c. At the Member representative meeting in 2013, the Technical Implementation Committee nothing was reported relating to </w:t>
      </w:r>
      <w:proofErr w:type="spellStart"/>
      <w:r>
        <w:rPr>
          <w:rFonts w:eastAsia="Times New Roman" w:cs="Times New Roman"/>
          <w:lang w:eastAsia="en-GB"/>
        </w:rPr>
        <w:t>licencing</w:t>
      </w:r>
      <w:proofErr w:type="spellEnd"/>
      <w:r>
        <w:rPr>
          <w:rFonts w:eastAsia="Times New Roman" w:cs="Times New Roman"/>
          <w:lang w:eastAsia="en-GB"/>
        </w:rPr>
        <w:t xml:space="preserve"> / or software vendors around DDI Compliance.</w:t>
      </w:r>
    </w:p>
    <w:p w:rsidR="00847918" w:rsidRDefault="00847918" w:rsidP="00847918">
      <w:pPr>
        <w:spacing w:after="0" w:line="240" w:lineRule="auto"/>
        <w:rPr>
          <w:rFonts w:eastAsia="Times New Roman" w:cs="Times New Roman"/>
          <w:lang w:eastAsia="en-GB"/>
        </w:rPr>
      </w:pPr>
    </w:p>
    <w:p w:rsidR="00847918" w:rsidRDefault="00847918" w:rsidP="00847918">
      <w:pPr>
        <w:spacing w:after="0" w:line="240" w:lineRule="auto"/>
        <w:rPr>
          <w:rFonts w:eastAsia="Times New Roman" w:cs="Times New Roman"/>
          <w:lang w:eastAsia="en-GB"/>
        </w:rPr>
      </w:pPr>
      <w:r>
        <w:rPr>
          <w:rFonts w:eastAsia="Times New Roman" w:cs="Times New Roman"/>
          <w:lang w:eastAsia="en-GB"/>
        </w:rPr>
        <w:t>d. At the Executive Board on August 2013</w:t>
      </w:r>
      <w:r>
        <w:rPr>
          <w:rStyle w:val="FootnoteReference"/>
          <w:rFonts w:eastAsia="Times New Roman" w:cs="Times New Roman"/>
          <w:lang w:eastAsia="en-GB"/>
        </w:rPr>
        <w:footnoteReference w:id="5"/>
      </w:r>
      <w:r>
        <w:rPr>
          <w:rFonts w:eastAsia="Times New Roman" w:cs="Times New Roman"/>
          <w:lang w:eastAsia="en-GB"/>
        </w:rPr>
        <w:t xml:space="preserve"> the following was reported:</w:t>
      </w:r>
    </w:p>
    <w:p w:rsidR="00847918" w:rsidRDefault="00847918" w:rsidP="00847918">
      <w:pPr>
        <w:spacing w:after="0" w:line="240" w:lineRule="auto"/>
        <w:rPr>
          <w:rFonts w:eastAsia="Times New Roman" w:cs="Times New Roman"/>
          <w:lang w:eastAsia="en-GB"/>
        </w:rPr>
      </w:pPr>
    </w:p>
    <w:p w:rsidR="00847918" w:rsidRDefault="00847918" w:rsidP="00847918">
      <w:pPr>
        <w:ind w:left="720"/>
        <w:rPr>
          <w:lang w:eastAsia="en-GB"/>
        </w:rPr>
      </w:pPr>
      <w:r>
        <w:rPr>
          <w:lang w:eastAsia="en-GB"/>
        </w:rPr>
        <w:t>“The members have agreed to have the University of Michigan register a Collective Mark for DDI and we need official confirmation to move ahead. The EB agreed that we can move forward with this. One issue we need to investigate is whether there are any issues around countries not covered under the Madrid filing”</w:t>
      </w:r>
    </w:p>
    <w:p w:rsidR="00847918" w:rsidRDefault="00847918" w:rsidP="00847918">
      <w:pPr>
        <w:spacing w:after="0" w:line="240" w:lineRule="auto"/>
        <w:rPr>
          <w:rFonts w:eastAsia="Times New Roman" w:cs="Times New Roman"/>
          <w:lang w:eastAsia="en-GB"/>
        </w:rPr>
      </w:pPr>
      <w:proofErr w:type="gramStart"/>
      <w:r>
        <w:rPr>
          <w:rFonts w:eastAsia="Times New Roman" w:cs="Times New Roman"/>
          <w:lang w:eastAsia="en-GB"/>
        </w:rPr>
        <w:t>e</w:t>
      </w:r>
      <w:proofErr w:type="gramEnd"/>
      <w:r>
        <w:rPr>
          <w:rFonts w:eastAsia="Times New Roman" w:cs="Times New Roman"/>
          <w:lang w:eastAsia="en-GB"/>
        </w:rPr>
        <w:t>. At the Member representative meeting in Toronto</w:t>
      </w:r>
      <w:r>
        <w:rPr>
          <w:rStyle w:val="FootnoteReference"/>
          <w:rFonts w:eastAsia="Times New Roman" w:cs="Times New Roman"/>
          <w:lang w:eastAsia="en-GB"/>
        </w:rPr>
        <w:footnoteReference w:id="6"/>
      </w:r>
      <w:r>
        <w:rPr>
          <w:rFonts w:eastAsia="Times New Roman" w:cs="Times New Roman"/>
          <w:lang w:eastAsia="en-GB"/>
        </w:rPr>
        <w:t xml:space="preserve"> in June 2014</w:t>
      </w:r>
    </w:p>
    <w:p w:rsidR="00847918" w:rsidRDefault="00847918" w:rsidP="00847918">
      <w:pPr>
        <w:spacing w:after="0" w:line="240" w:lineRule="auto"/>
        <w:rPr>
          <w:rFonts w:eastAsia="Times New Roman" w:cs="Times New Roman"/>
          <w:lang w:eastAsia="en-GB"/>
        </w:rPr>
      </w:pPr>
    </w:p>
    <w:p w:rsidR="00847918" w:rsidRDefault="00847918" w:rsidP="00847918">
      <w:pPr>
        <w:spacing w:after="0" w:line="240" w:lineRule="auto"/>
        <w:ind w:left="720"/>
        <w:rPr>
          <w:rFonts w:eastAsia="Times New Roman" w:cs="Times New Roman"/>
          <w:lang w:eastAsia="en-GB"/>
        </w:rPr>
      </w:pPr>
      <w:r>
        <w:rPr>
          <w:rFonts w:eastAsia="Times New Roman" w:cs="Arial"/>
          <w:lang w:eastAsia="en-GB"/>
        </w:rPr>
        <w:t xml:space="preserve">“Collective Mark It was reported that on behalf of the DDI Alliance, attorneys had filed trademark applications with the WIPO (Madrid Protocol countries), including the European Union, Australia, New Zealand, and Norway; </w:t>
      </w:r>
      <w:r>
        <w:rPr>
          <w:rFonts w:eastAsia="Times New Roman" w:cs="Times New Roman"/>
          <w:lang w:eastAsia="en-GB"/>
        </w:rPr>
        <w:t>the United States; and Canada. These filings were proceeding as expected”</w:t>
      </w:r>
    </w:p>
    <w:p w:rsidR="00847918" w:rsidRDefault="00847918" w:rsidP="00847918">
      <w:pPr>
        <w:spacing w:after="0" w:line="240" w:lineRule="auto"/>
        <w:rPr>
          <w:rFonts w:eastAsia="Times New Roman" w:cs="Times New Roman"/>
          <w:lang w:eastAsia="en-GB"/>
        </w:rPr>
      </w:pPr>
    </w:p>
    <w:p w:rsidR="00847918" w:rsidRDefault="00847918" w:rsidP="00847918">
      <w:pPr>
        <w:spacing w:after="0" w:line="240" w:lineRule="auto"/>
        <w:rPr>
          <w:rFonts w:eastAsia="Times New Roman" w:cs="Times New Roman"/>
          <w:lang w:eastAsia="en-GB"/>
        </w:rPr>
      </w:pPr>
      <w:r>
        <w:rPr>
          <w:rFonts w:eastAsia="Times New Roman" w:cs="Times New Roman"/>
          <w:lang w:eastAsia="en-GB"/>
        </w:rPr>
        <w:t>f. At the Executive Board on October 28 2014</w:t>
      </w:r>
      <w:r>
        <w:rPr>
          <w:rStyle w:val="FootnoteReference"/>
          <w:rFonts w:eastAsia="Times New Roman" w:cs="Times New Roman"/>
          <w:lang w:eastAsia="en-GB"/>
        </w:rPr>
        <w:footnoteReference w:id="7"/>
      </w:r>
      <w:r>
        <w:rPr>
          <w:rFonts w:eastAsia="Times New Roman" w:cs="Times New Roman"/>
          <w:lang w:eastAsia="en-GB"/>
        </w:rPr>
        <w:t xml:space="preserve"> the following was reported:</w:t>
      </w:r>
    </w:p>
    <w:p w:rsidR="00847918" w:rsidRDefault="00847918" w:rsidP="00847918">
      <w:pPr>
        <w:spacing w:after="0" w:line="240" w:lineRule="auto"/>
        <w:rPr>
          <w:rFonts w:eastAsia="Times New Roman" w:cs="Times New Roman"/>
          <w:lang w:eastAsia="en-GB"/>
        </w:rPr>
      </w:pPr>
    </w:p>
    <w:p w:rsidR="00847918" w:rsidRDefault="00847918" w:rsidP="00847918">
      <w:pPr>
        <w:spacing w:after="0" w:line="240" w:lineRule="auto"/>
        <w:ind w:left="720"/>
        <w:rPr>
          <w:rFonts w:eastAsia="Times New Roman" w:cs="Times New Roman"/>
          <w:b/>
          <w:lang w:eastAsia="en-GB"/>
        </w:rPr>
      </w:pPr>
      <w:r>
        <w:rPr>
          <w:rFonts w:eastAsia="Times New Roman" w:cs="Times New Roman"/>
          <w:b/>
          <w:lang w:eastAsia="en-GB"/>
        </w:rPr>
        <w:t xml:space="preserve">III. Governance of Alliance products (tools, training materials) </w:t>
      </w:r>
    </w:p>
    <w:p w:rsidR="00847918" w:rsidRDefault="00847918" w:rsidP="00847918">
      <w:pPr>
        <w:spacing w:after="0" w:line="240" w:lineRule="auto"/>
        <w:ind w:left="720"/>
        <w:rPr>
          <w:rFonts w:eastAsia="Times New Roman" w:cs="Times New Roman"/>
          <w:lang w:eastAsia="en-GB"/>
        </w:rPr>
      </w:pPr>
      <w:r>
        <w:rPr>
          <w:rFonts w:eastAsia="Times New Roman" w:cs="Times New Roman"/>
          <w:lang w:eastAsia="en-GB"/>
        </w:rPr>
        <w:t xml:space="preserve">This issue arose in the context of a grant application that, if successful, will result in a tool to document data transformations. The EB needs to decide what kind of license is appropriate for the tool and who will be responsible for maintaining it. These questions also apply to training </w:t>
      </w:r>
      <w:r>
        <w:rPr>
          <w:rFonts w:eastAsia="Times New Roman" w:cs="Times New Roman"/>
          <w:lang w:eastAsia="en-GB"/>
        </w:rPr>
        <w:lastRenderedPageBreak/>
        <w:t>materials. This item was carried forward to the next meeting as the full EB needs to discuss the issues.</w:t>
      </w:r>
    </w:p>
    <w:p w:rsidR="00847918" w:rsidRDefault="00847918" w:rsidP="00847918">
      <w:pPr>
        <w:spacing w:after="0" w:line="240" w:lineRule="auto"/>
        <w:ind w:left="720"/>
        <w:rPr>
          <w:rFonts w:eastAsia="Times New Roman" w:cs="Times New Roman"/>
          <w:lang w:eastAsia="en-GB"/>
        </w:rPr>
      </w:pPr>
    </w:p>
    <w:p w:rsidR="00847918" w:rsidRDefault="00847918" w:rsidP="00847918">
      <w:pPr>
        <w:spacing w:after="0" w:line="240" w:lineRule="auto"/>
        <w:rPr>
          <w:rFonts w:eastAsia="Times New Roman" w:cs="Times New Roman"/>
          <w:lang w:eastAsia="en-GB"/>
        </w:rPr>
      </w:pPr>
      <w:r>
        <w:rPr>
          <w:rFonts w:eastAsia="Times New Roman" w:cs="Times New Roman"/>
          <w:lang w:eastAsia="en-GB"/>
        </w:rPr>
        <w:t>g. At the Executive Board meeting on March 16/17 2015</w:t>
      </w:r>
      <w:r>
        <w:rPr>
          <w:rStyle w:val="FootnoteReference"/>
          <w:rFonts w:eastAsia="Times New Roman" w:cs="Times New Roman"/>
          <w:lang w:eastAsia="en-GB"/>
        </w:rPr>
        <w:footnoteReference w:id="8"/>
      </w:r>
      <w:r>
        <w:rPr>
          <w:rFonts w:eastAsia="Times New Roman" w:cs="Times New Roman"/>
          <w:lang w:eastAsia="en-GB"/>
        </w:rPr>
        <w:t xml:space="preserve"> it was reported: </w:t>
      </w:r>
    </w:p>
    <w:p w:rsidR="00847918" w:rsidRDefault="00847918" w:rsidP="00847918">
      <w:pPr>
        <w:spacing w:after="0" w:line="240" w:lineRule="auto"/>
        <w:rPr>
          <w:rFonts w:eastAsia="Times New Roman" w:cs="Times New Roman"/>
          <w:lang w:eastAsia="en-GB"/>
        </w:rPr>
      </w:pPr>
    </w:p>
    <w:p w:rsidR="00847918" w:rsidRDefault="00847918" w:rsidP="00847918">
      <w:pPr>
        <w:spacing w:after="0" w:line="240" w:lineRule="auto"/>
        <w:ind w:left="720"/>
        <w:rPr>
          <w:rFonts w:eastAsia="Times New Roman" w:cs="Times New Roman"/>
          <w:lang w:eastAsia="en-GB"/>
        </w:rPr>
      </w:pPr>
      <w:r>
        <w:rPr>
          <w:rFonts w:eastAsia="Times New Roman" w:cs="Times New Roman"/>
          <w:lang w:eastAsia="en-GB"/>
        </w:rPr>
        <w:t>“</w:t>
      </w:r>
      <w:r>
        <w:rPr>
          <w:rFonts w:eastAsia="Times New Roman" w:cs="Times New Roman"/>
          <w:b/>
          <w:lang w:eastAsia="en-GB"/>
        </w:rPr>
        <w:t>Copyright issues</w:t>
      </w:r>
      <w:r>
        <w:rPr>
          <w:rFonts w:eastAsia="Times New Roman" w:cs="Times New Roman"/>
          <w:lang w:eastAsia="en-GB"/>
        </w:rPr>
        <w:t>: George Alter was working on a project to create software to capture data transformations in DDI and the question arose about the type of license that would be most appropriate for such a tool.</w:t>
      </w:r>
    </w:p>
    <w:p w:rsidR="00847918" w:rsidRDefault="00847918" w:rsidP="00847918">
      <w:pPr>
        <w:spacing w:after="0" w:line="240" w:lineRule="auto"/>
        <w:ind w:left="720"/>
        <w:rPr>
          <w:rFonts w:eastAsia="Times New Roman" w:cs="Times New Roman"/>
          <w:lang w:eastAsia="en-GB"/>
        </w:rPr>
      </w:pPr>
    </w:p>
    <w:p w:rsidR="00847918" w:rsidRDefault="00847918" w:rsidP="00847918">
      <w:pPr>
        <w:spacing w:after="0" w:line="240" w:lineRule="auto"/>
        <w:ind w:left="720"/>
        <w:rPr>
          <w:rFonts w:eastAsia="Times New Roman" w:cs="Times New Roman"/>
          <w:lang w:eastAsia="en-GB"/>
        </w:rPr>
      </w:pPr>
      <w:r>
        <w:rPr>
          <w:rFonts w:eastAsia="Times New Roman" w:cs="Times New Roman"/>
          <w:lang w:eastAsia="en-GB"/>
        </w:rPr>
        <w:t>Accordingly, George had a conversation with the University of Michigan copyright officer, who advised using a copy left license, which requires that when code is modified, the modifications be made open and public. It was noted that this is consistent with the policy for CSPA [</w:t>
      </w:r>
      <w:r w:rsidRPr="00847918">
        <w:t>Common Stat</w:t>
      </w:r>
      <w:r>
        <w:t>istical Production Architecture</w:t>
      </w:r>
      <w:proofErr w:type="gramStart"/>
      <w:r w:rsidRPr="00847918">
        <w:t xml:space="preserve">] </w:t>
      </w:r>
      <w:r>
        <w:rPr>
          <w:rFonts w:eastAsia="Times New Roman" w:cs="Times New Roman"/>
          <w:lang w:eastAsia="en-GB"/>
        </w:rPr>
        <w:t xml:space="preserve"> software</w:t>
      </w:r>
      <w:proofErr w:type="gramEnd"/>
      <w:r>
        <w:rPr>
          <w:rFonts w:eastAsia="Times New Roman" w:cs="Times New Roman"/>
          <w:lang w:eastAsia="en-GB"/>
        </w:rPr>
        <w:t>. This is a complicated topic and we may need to discuss it further at future meetings.”</w:t>
      </w:r>
      <w:r>
        <w:rPr>
          <w:rFonts w:eastAsia="Times New Roman" w:cs="Times New Roman"/>
          <w:lang w:eastAsia="en-GB"/>
        </w:rPr>
        <w:br/>
      </w:r>
    </w:p>
    <w:p w:rsidR="00847918" w:rsidRDefault="00847918" w:rsidP="00847918">
      <w:pPr>
        <w:pStyle w:val="Heading2"/>
      </w:pPr>
      <w:r>
        <w:t>Current Position</w:t>
      </w:r>
    </w:p>
    <w:p w:rsidR="00847918" w:rsidRDefault="00847918" w:rsidP="00847918">
      <w:pPr>
        <w:spacing w:after="240" w:line="240" w:lineRule="auto"/>
        <w:rPr>
          <w:rFonts w:eastAsia="Times New Roman" w:cs="Times New Roman"/>
          <w:lang w:eastAsia="en-GB"/>
        </w:rPr>
      </w:pPr>
      <w:r>
        <w:rPr>
          <w:rFonts w:eastAsia="Times New Roman" w:cs="Times New Roman"/>
          <w:lang w:eastAsia="en-GB"/>
        </w:rPr>
        <w:t>The only publically available statement I can find is at http://www.ddialliance.org/Specification/DDI-Codebook/2.5/</w:t>
      </w:r>
    </w:p>
    <w:p w:rsidR="00847918" w:rsidRDefault="00847918" w:rsidP="00847918">
      <w:pPr>
        <w:pStyle w:val="Heading3"/>
        <w:ind w:left="720"/>
        <w:rPr>
          <w:rFonts w:asciiTheme="minorHAnsi" w:hAnsiTheme="minorHAnsi"/>
        </w:rPr>
      </w:pPr>
      <w:r>
        <w:rPr>
          <w:rFonts w:asciiTheme="minorHAnsi" w:hAnsiTheme="minorHAnsi"/>
        </w:rPr>
        <w:t>License and Credits</w:t>
      </w:r>
    </w:p>
    <w:p w:rsidR="00847918" w:rsidRDefault="00847918" w:rsidP="00847918">
      <w:pPr>
        <w:pStyle w:val="NormalWeb"/>
        <w:ind w:left="720"/>
        <w:rPr>
          <w:rFonts w:asciiTheme="minorHAnsi" w:hAnsiTheme="minorHAnsi"/>
          <w:sz w:val="22"/>
          <w:szCs w:val="22"/>
        </w:rPr>
      </w:pPr>
      <w:r>
        <w:rPr>
          <w:rFonts w:asciiTheme="minorHAnsi" w:hAnsiTheme="minorHAnsi"/>
          <w:sz w:val="22"/>
          <w:szCs w:val="22"/>
        </w:rPr>
        <w:t>DDI Codebook 2.5 XML Schema is free software: you can redistribute it and/or modify it under the terms of the GNU General Public License as published by the Free Software Foundation, either version 3 of the License, or (at your option) any later version.</w:t>
      </w:r>
    </w:p>
    <w:p w:rsidR="00847918" w:rsidRDefault="00847918" w:rsidP="00847918">
      <w:pPr>
        <w:pStyle w:val="NormalWeb"/>
        <w:ind w:left="720"/>
        <w:rPr>
          <w:rFonts w:asciiTheme="minorHAnsi" w:hAnsiTheme="minorHAnsi"/>
          <w:sz w:val="22"/>
          <w:szCs w:val="22"/>
        </w:rPr>
      </w:pPr>
      <w:r>
        <w:rPr>
          <w:rFonts w:asciiTheme="minorHAnsi" w:hAnsiTheme="minorHAnsi"/>
          <w:sz w:val="22"/>
          <w:szCs w:val="22"/>
        </w:rPr>
        <w:t xml:space="preserve">DDI Codebook 2.5 XML Schema is distributed in the hope that it will be useful, but WITHOUT ANY WARRANTY; without even the implied warranty of MERCHANTABILITY or FITNESS FOR A PARTICULAR PURPOSE. See the </w:t>
      </w:r>
      <w:hyperlink r:id="rId10" w:tgtFrame="_blank" w:history="1">
        <w:r>
          <w:rPr>
            <w:rStyle w:val="Hyperlink"/>
            <w:rFonts w:asciiTheme="minorHAnsi" w:eastAsiaTheme="majorEastAsia" w:hAnsiTheme="minorHAnsi"/>
            <w:sz w:val="22"/>
            <w:szCs w:val="22"/>
          </w:rPr>
          <w:t>GNU General Public License</w:t>
        </w:r>
      </w:hyperlink>
      <w:r>
        <w:rPr>
          <w:rFonts w:asciiTheme="minorHAnsi" w:hAnsiTheme="minorHAnsi"/>
          <w:sz w:val="22"/>
          <w:szCs w:val="22"/>
        </w:rPr>
        <w:t xml:space="preserve"> for more details.</w:t>
      </w:r>
    </w:p>
    <w:p w:rsidR="00847918" w:rsidRDefault="00847918" w:rsidP="00847918">
      <w:pPr>
        <w:pStyle w:val="NormalWeb"/>
        <w:ind w:left="720"/>
        <w:rPr>
          <w:rFonts w:asciiTheme="minorHAnsi" w:hAnsiTheme="minorHAnsi"/>
          <w:sz w:val="22"/>
          <w:szCs w:val="22"/>
        </w:rPr>
      </w:pPr>
      <w:r>
        <w:rPr>
          <w:rFonts w:asciiTheme="minorHAnsi" w:hAnsiTheme="minorHAnsi"/>
          <w:sz w:val="22"/>
          <w:szCs w:val="22"/>
        </w:rPr>
        <w:t xml:space="preserve">Other DDI documents are distributed under </w:t>
      </w:r>
      <w:hyperlink r:id="rId11" w:history="1">
        <w:proofErr w:type="gramStart"/>
        <w:r>
          <w:rPr>
            <w:rStyle w:val="Hyperlink"/>
            <w:rFonts w:asciiTheme="minorHAnsi" w:eastAsiaTheme="majorEastAsia" w:hAnsiTheme="minorHAnsi"/>
            <w:sz w:val="22"/>
            <w:szCs w:val="22"/>
          </w:rPr>
          <w:t>Creative Commons</w:t>
        </w:r>
        <w:proofErr w:type="gramEnd"/>
        <w:r>
          <w:rPr>
            <w:rStyle w:val="Hyperlink"/>
            <w:rFonts w:asciiTheme="minorHAnsi" w:eastAsiaTheme="majorEastAsia" w:hAnsiTheme="minorHAnsi"/>
            <w:sz w:val="22"/>
            <w:szCs w:val="22"/>
          </w:rPr>
          <w:t xml:space="preserve"> licenses</w:t>
        </w:r>
      </w:hyperlink>
      <w:r>
        <w:rPr>
          <w:rFonts w:asciiTheme="minorHAnsi" w:hAnsiTheme="minorHAnsi"/>
          <w:sz w:val="22"/>
          <w:szCs w:val="22"/>
        </w:rPr>
        <w:t>.</w:t>
      </w:r>
    </w:p>
    <w:p w:rsidR="00847918" w:rsidRDefault="00847918" w:rsidP="00847918">
      <w:pPr>
        <w:spacing w:after="240" w:line="240" w:lineRule="auto"/>
        <w:rPr>
          <w:rFonts w:eastAsia="Times New Roman" w:cs="Times New Roman"/>
          <w:lang w:eastAsia="en-GB"/>
        </w:rPr>
      </w:pPr>
      <w:r>
        <w:rPr>
          <w:rFonts w:eastAsia="Times New Roman" w:cs="Times New Roman"/>
          <w:lang w:eastAsia="en-GB"/>
        </w:rPr>
        <w:t xml:space="preserve">This links to: </w:t>
      </w:r>
      <w:hyperlink r:id="rId12" w:history="1">
        <w:r>
          <w:rPr>
            <w:rStyle w:val="Hyperlink"/>
            <w:rFonts w:eastAsia="Times New Roman" w:cs="Times New Roman"/>
            <w:lang w:eastAsia="en-GB"/>
          </w:rPr>
          <w:t>http://creativecommons.org/licenses/by-nc-sa/3.0/us/</w:t>
        </w:r>
      </w:hyperlink>
    </w:p>
    <w:p w:rsidR="00847918" w:rsidRDefault="00847918" w:rsidP="00847918">
      <w:pPr>
        <w:spacing w:after="240" w:line="240" w:lineRule="auto"/>
        <w:ind w:firstLine="720"/>
        <w:rPr>
          <w:rFonts w:eastAsia="Times New Roman" w:cs="Times New Roman"/>
          <w:lang w:eastAsia="en-GB"/>
        </w:rPr>
      </w:pPr>
      <w:r>
        <w:rPr>
          <w:rFonts w:eastAsia="Times New Roman" w:cs="Times New Roman"/>
          <w:lang w:eastAsia="en-GB"/>
        </w:rPr>
        <w:t>Attribution-</w:t>
      </w:r>
      <w:proofErr w:type="spellStart"/>
      <w:r>
        <w:rPr>
          <w:rFonts w:eastAsia="Times New Roman" w:cs="Times New Roman"/>
          <w:lang w:eastAsia="en-GB"/>
        </w:rPr>
        <w:t>NonCommercial</w:t>
      </w:r>
      <w:proofErr w:type="spellEnd"/>
      <w:r>
        <w:rPr>
          <w:rFonts w:eastAsia="Times New Roman" w:cs="Times New Roman"/>
          <w:lang w:eastAsia="en-GB"/>
        </w:rPr>
        <w:t>-</w:t>
      </w:r>
      <w:proofErr w:type="spellStart"/>
      <w:r>
        <w:rPr>
          <w:rFonts w:eastAsia="Times New Roman" w:cs="Times New Roman"/>
          <w:lang w:eastAsia="en-GB"/>
        </w:rPr>
        <w:t>ShareAlike</w:t>
      </w:r>
      <w:proofErr w:type="spellEnd"/>
      <w:r>
        <w:rPr>
          <w:rFonts w:eastAsia="Times New Roman" w:cs="Times New Roman"/>
          <w:lang w:eastAsia="en-GB"/>
        </w:rPr>
        <w:t xml:space="preserve"> 3.0 United States (CC BY-NC-SA 3.0 US)</w:t>
      </w:r>
    </w:p>
    <w:p w:rsidR="00847918" w:rsidRDefault="00847918" w:rsidP="00847918">
      <w:pPr>
        <w:spacing w:after="240" w:line="240" w:lineRule="auto"/>
        <w:rPr>
          <w:rFonts w:eastAsia="Times New Roman" w:cs="Times New Roman"/>
          <w:lang w:eastAsia="en-GB"/>
        </w:rPr>
      </w:pPr>
      <w:r>
        <w:rPr>
          <w:rFonts w:eastAsia="Times New Roman" w:cs="Times New Roman"/>
          <w:lang w:eastAsia="en-GB"/>
        </w:rPr>
        <w:t>Going with convention we used CC BY-NC-SA 3.0 US for Lifecycle MD</w:t>
      </w:r>
    </w:p>
    <w:p w:rsidR="00847918" w:rsidRDefault="00847918" w:rsidP="00847918">
      <w:pPr>
        <w:pStyle w:val="Heading3"/>
        <w:ind w:left="720"/>
        <w:rPr>
          <w:rFonts w:asciiTheme="minorHAnsi" w:hAnsiTheme="minorHAnsi"/>
        </w:rPr>
      </w:pPr>
      <w:r>
        <w:rPr>
          <w:rFonts w:asciiTheme="minorHAnsi" w:hAnsiTheme="minorHAnsi"/>
        </w:rPr>
        <w:t>Collective Mark</w:t>
      </w:r>
      <w:r>
        <w:rPr>
          <w:rStyle w:val="FootnoteReference"/>
          <w:rFonts w:asciiTheme="minorHAnsi" w:hAnsiTheme="minorHAnsi"/>
        </w:rPr>
        <w:footnoteReference w:id="9"/>
      </w:r>
    </w:p>
    <w:p w:rsidR="00847918" w:rsidRDefault="00847918" w:rsidP="00847918">
      <w:pPr>
        <w:spacing w:after="240" w:line="240" w:lineRule="auto"/>
        <w:ind w:left="720"/>
      </w:pPr>
      <w:r>
        <w:t>By the June 1 meeting of the Alliance, the DDI Alliance will have registered the Collective Mark in all the countries represented by DDI Alliance members [</w:t>
      </w:r>
      <w:r>
        <w:rPr>
          <w:rFonts w:eastAsia="Times New Roman" w:cs="Arial"/>
          <w:lang w:eastAsia="en-GB"/>
        </w:rPr>
        <w:t xml:space="preserve">WIPO (Madrid Protocol countries), including the European Union, Australia, New Zealand, and Norway; </w:t>
      </w:r>
      <w:r>
        <w:rPr>
          <w:rFonts w:eastAsia="Times New Roman" w:cs="Times New Roman"/>
          <w:lang w:eastAsia="en-GB"/>
        </w:rPr>
        <w:t>the United States; and Canada]</w:t>
      </w:r>
      <w:r>
        <w:t>. That means that each Alliance member will be able to display a special DDI logo that says they are a member, signifying that only the Alliance members have the right to develop and publish the DDI specifications.</w:t>
      </w:r>
    </w:p>
    <w:p w:rsidR="00847918" w:rsidRDefault="00847918" w:rsidP="00847918">
      <w:pPr>
        <w:pStyle w:val="Heading3"/>
        <w:ind w:firstLine="720"/>
      </w:pPr>
      <w:r>
        <w:lastRenderedPageBreak/>
        <w:t>Copyright</w:t>
      </w:r>
    </w:p>
    <w:p w:rsidR="00847918" w:rsidRDefault="00847918" w:rsidP="00847918">
      <w:pPr>
        <w:spacing w:after="240" w:line="240" w:lineRule="auto"/>
        <w:ind w:left="720"/>
      </w:pPr>
      <w:r>
        <w:t>University of Michigan counsel has also recommended that we register copyright for the specifications (even though we have implicit copyright). This has to be done for each, so for example, DDI 2.1, 2.5, 3.0, 3.1, 3.2, etc.</w:t>
      </w:r>
    </w:p>
    <w:p w:rsidR="00847918" w:rsidRDefault="00847918" w:rsidP="00847918">
      <w:pPr>
        <w:spacing w:after="240" w:line="240" w:lineRule="auto"/>
        <w:ind w:left="720"/>
        <w:rPr>
          <w:rFonts w:eastAsia="Times New Roman" w:cs="Times New Roman"/>
          <w:lang w:eastAsia="en-GB"/>
        </w:rPr>
      </w:pPr>
    </w:p>
    <w:p w:rsidR="00847918" w:rsidRPr="00896FD1" w:rsidRDefault="00847918" w:rsidP="00847918"/>
    <w:sectPr w:rsidR="00847918" w:rsidRPr="00896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20" w:rsidRDefault="00E15520" w:rsidP="00847918">
      <w:pPr>
        <w:spacing w:after="0" w:line="240" w:lineRule="auto"/>
      </w:pPr>
      <w:r>
        <w:separator/>
      </w:r>
    </w:p>
  </w:endnote>
  <w:endnote w:type="continuationSeparator" w:id="0">
    <w:p w:rsidR="00E15520" w:rsidRDefault="00E15520" w:rsidP="0084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20" w:rsidRDefault="00E15520" w:rsidP="00847918">
      <w:pPr>
        <w:spacing w:after="0" w:line="240" w:lineRule="auto"/>
      </w:pPr>
      <w:r>
        <w:separator/>
      </w:r>
    </w:p>
  </w:footnote>
  <w:footnote w:type="continuationSeparator" w:id="0">
    <w:p w:rsidR="00E15520" w:rsidRDefault="00E15520" w:rsidP="00847918">
      <w:pPr>
        <w:spacing w:after="0" w:line="240" w:lineRule="auto"/>
      </w:pPr>
      <w:r>
        <w:continuationSeparator/>
      </w:r>
    </w:p>
  </w:footnote>
  <w:footnote w:id="1">
    <w:p w:rsidR="00C94C8B" w:rsidRPr="00C94C8B" w:rsidRDefault="00C94C8B" w:rsidP="00C94C8B">
      <w:pPr>
        <w:pStyle w:val="FootnoteText"/>
        <w:rPr>
          <w:lang w:val="en-US"/>
        </w:rPr>
      </w:pPr>
      <w:r>
        <w:rPr>
          <w:rStyle w:val="FootnoteReference"/>
        </w:rPr>
        <w:footnoteRef/>
      </w:r>
      <w:r>
        <w:t xml:space="preserve"> </w:t>
      </w:r>
      <w:r>
        <w:rPr>
          <w:lang w:val="en-US"/>
        </w:rPr>
        <w:t>http://choosealicense.com/licenses/</w:t>
      </w:r>
    </w:p>
  </w:footnote>
  <w:footnote w:id="2">
    <w:p w:rsidR="00C03AAE" w:rsidRPr="00C03AAE" w:rsidRDefault="00C03AAE">
      <w:pPr>
        <w:pStyle w:val="FootnoteText"/>
        <w:rPr>
          <w:lang w:val="en-US"/>
        </w:rPr>
      </w:pPr>
      <w:r>
        <w:rPr>
          <w:rStyle w:val="FootnoteReference"/>
        </w:rPr>
        <w:footnoteRef/>
      </w:r>
      <w:r>
        <w:t xml:space="preserve"> </w:t>
      </w:r>
      <w:r w:rsidRPr="00C03AAE">
        <w:t>http://creativecommons.org/licenses/by/4.0/</w:t>
      </w:r>
    </w:p>
  </w:footnote>
  <w:footnote w:id="3">
    <w:p w:rsidR="00847918" w:rsidRDefault="00847918" w:rsidP="00847918">
      <w:pPr>
        <w:pStyle w:val="FootnoteText"/>
      </w:pPr>
      <w:r>
        <w:rPr>
          <w:rStyle w:val="FootnoteReference"/>
        </w:rPr>
        <w:footnoteRef/>
      </w:r>
      <w:r>
        <w:t xml:space="preserve"> http://www.ddialliance.org/sites/default/files/DDIAllianceExpertCommitteeMeetingMinutes2011-05-30_0.pdf</w:t>
      </w:r>
    </w:p>
  </w:footnote>
  <w:footnote w:id="4">
    <w:p w:rsidR="00847918" w:rsidRDefault="00847918" w:rsidP="00847918">
      <w:pPr>
        <w:pStyle w:val="FootnoteText"/>
      </w:pPr>
      <w:r>
        <w:rPr>
          <w:rStyle w:val="FootnoteReference"/>
        </w:rPr>
        <w:footnoteRef/>
      </w:r>
      <w:r>
        <w:t xml:space="preserve"> http://www.ddialliance.org/sites/default/files/DDIAllianceExpertCommitteeMeetingMinutes2012-06-04.pdf</w:t>
      </w:r>
    </w:p>
  </w:footnote>
  <w:footnote w:id="5">
    <w:p w:rsidR="00847918" w:rsidRDefault="00847918" w:rsidP="00847918">
      <w:pPr>
        <w:pStyle w:val="FootnoteText"/>
      </w:pPr>
      <w:r>
        <w:rPr>
          <w:rStyle w:val="FootnoteReference"/>
        </w:rPr>
        <w:footnoteRef/>
      </w:r>
      <w:r>
        <w:t xml:space="preserve"> http://www.ddialliance.org/system/files/Minutes2013-08-28.pdf</w:t>
      </w:r>
    </w:p>
  </w:footnote>
  <w:footnote w:id="6">
    <w:p w:rsidR="00847918" w:rsidRDefault="00847918" w:rsidP="00847918">
      <w:pPr>
        <w:pStyle w:val="FootnoteText"/>
      </w:pPr>
      <w:r>
        <w:rPr>
          <w:rStyle w:val="FootnoteReference"/>
        </w:rPr>
        <w:footnoteRef/>
      </w:r>
      <w:r>
        <w:t xml:space="preserve"> http://www.ddialliance.org/system/files/DDIAllianceAnnualMeetingOfMembersMinutes2014-06-02.pdf</w:t>
      </w:r>
    </w:p>
  </w:footnote>
  <w:footnote w:id="7">
    <w:p w:rsidR="00847918" w:rsidRDefault="00847918" w:rsidP="00847918">
      <w:pPr>
        <w:pStyle w:val="FootnoteText"/>
      </w:pPr>
      <w:r>
        <w:rPr>
          <w:rStyle w:val="FootnoteReference"/>
        </w:rPr>
        <w:footnoteRef/>
      </w:r>
      <w:r>
        <w:t xml:space="preserve"> http://www.ddialliance.org/system/files/Minutes2014-10-28.pdf</w:t>
      </w:r>
    </w:p>
  </w:footnote>
  <w:footnote w:id="8">
    <w:p w:rsidR="00847918" w:rsidRDefault="00847918" w:rsidP="00847918">
      <w:pPr>
        <w:pStyle w:val="FootnoteText"/>
      </w:pPr>
      <w:r>
        <w:rPr>
          <w:rStyle w:val="FootnoteReference"/>
        </w:rPr>
        <w:footnoteRef/>
      </w:r>
      <w:r>
        <w:t xml:space="preserve"> http://www.ddialliance.org/system/files/Minutes2015-03-16.pdf</w:t>
      </w:r>
    </w:p>
  </w:footnote>
  <w:footnote w:id="9">
    <w:p w:rsidR="00847918" w:rsidRDefault="00847918" w:rsidP="00847918">
      <w:pPr>
        <w:pStyle w:val="FootnoteText"/>
      </w:pPr>
      <w:r>
        <w:rPr>
          <w:rStyle w:val="FootnoteReference"/>
        </w:rPr>
        <w:footnoteRef/>
      </w:r>
      <w:r>
        <w:t xml:space="preserve"> http://www.wipo.int/sme/en/ip_business/collective_marks/collective_marks.htm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048"/>
    <w:multiLevelType w:val="hybridMultilevel"/>
    <w:tmpl w:val="DDF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E8"/>
    <w:rsid w:val="00317A8F"/>
    <w:rsid w:val="0034140B"/>
    <w:rsid w:val="003B23D3"/>
    <w:rsid w:val="004C1E4C"/>
    <w:rsid w:val="004F01E8"/>
    <w:rsid w:val="00730F6F"/>
    <w:rsid w:val="00847918"/>
    <w:rsid w:val="00896FD1"/>
    <w:rsid w:val="009B4374"/>
    <w:rsid w:val="00A14486"/>
    <w:rsid w:val="00AD28E6"/>
    <w:rsid w:val="00B96FEA"/>
    <w:rsid w:val="00C03AAE"/>
    <w:rsid w:val="00C70E66"/>
    <w:rsid w:val="00C94C8B"/>
    <w:rsid w:val="00D66017"/>
    <w:rsid w:val="00E15520"/>
    <w:rsid w:val="00E758EE"/>
    <w:rsid w:val="00EB20F3"/>
    <w:rsid w:val="00F7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0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4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4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20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0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1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F01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01E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F01E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7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144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44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20F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84791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47918"/>
    <w:rPr>
      <w:sz w:val="20"/>
      <w:szCs w:val="20"/>
      <w:lang w:val="en-GB"/>
    </w:rPr>
  </w:style>
  <w:style w:type="paragraph" w:styleId="CommentText">
    <w:name w:val="annotation text"/>
    <w:basedOn w:val="Normal"/>
    <w:link w:val="CommentTextChar"/>
    <w:uiPriority w:val="99"/>
    <w:semiHidden/>
    <w:unhideWhenUsed/>
    <w:rsid w:val="00847918"/>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847918"/>
    <w:rPr>
      <w:sz w:val="20"/>
      <w:szCs w:val="20"/>
      <w:lang w:val="en-GB"/>
    </w:rPr>
  </w:style>
  <w:style w:type="character" w:styleId="FootnoteReference">
    <w:name w:val="footnote reference"/>
    <w:basedOn w:val="DefaultParagraphFont"/>
    <w:uiPriority w:val="99"/>
    <w:semiHidden/>
    <w:unhideWhenUsed/>
    <w:rsid w:val="00847918"/>
    <w:rPr>
      <w:vertAlign w:val="superscript"/>
    </w:rPr>
  </w:style>
  <w:style w:type="character" w:styleId="CommentReference">
    <w:name w:val="annotation reference"/>
    <w:basedOn w:val="DefaultParagraphFont"/>
    <w:uiPriority w:val="99"/>
    <w:semiHidden/>
    <w:unhideWhenUsed/>
    <w:rsid w:val="00847918"/>
    <w:rPr>
      <w:sz w:val="16"/>
      <w:szCs w:val="16"/>
    </w:rPr>
  </w:style>
  <w:style w:type="paragraph" w:styleId="BalloonText">
    <w:name w:val="Balloon Text"/>
    <w:basedOn w:val="Normal"/>
    <w:link w:val="BalloonTextChar"/>
    <w:uiPriority w:val="99"/>
    <w:semiHidden/>
    <w:unhideWhenUsed/>
    <w:rsid w:val="0084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18"/>
    <w:rPr>
      <w:rFonts w:ascii="Tahoma" w:hAnsi="Tahoma" w:cs="Tahoma"/>
      <w:sz w:val="16"/>
      <w:szCs w:val="16"/>
    </w:rPr>
  </w:style>
  <w:style w:type="character" w:styleId="Hyperlink">
    <w:name w:val="Hyperlink"/>
    <w:basedOn w:val="DefaultParagraphFont"/>
    <w:uiPriority w:val="99"/>
    <w:unhideWhenUsed/>
    <w:rsid w:val="00847918"/>
    <w:rPr>
      <w:color w:val="0000FF"/>
      <w:u w:val="single"/>
    </w:rPr>
  </w:style>
  <w:style w:type="paragraph" w:styleId="NormalWeb">
    <w:name w:val="Normal (Web)"/>
    <w:basedOn w:val="Normal"/>
    <w:uiPriority w:val="99"/>
    <w:semiHidden/>
    <w:unhideWhenUsed/>
    <w:rsid w:val="008479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94C8B"/>
    <w:pPr>
      <w:ind w:left="720"/>
      <w:contextualSpacing/>
    </w:pPr>
  </w:style>
  <w:style w:type="paragraph" w:styleId="CommentSubject">
    <w:name w:val="annotation subject"/>
    <w:basedOn w:val="CommentText"/>
    <w:next w:val="CommentText"/>
    <w:link w:val="CommentSubjectChar"/>
    <w:uiPriority w:val="99"/>
    <w:semiHidden/>
    <w:unhideWhenUsed/>
    <w:rsid w:val="009B4374"/>
    <w:pPr>
      <w:spacing w:after="200"/>
    </w:pPr>
    <w:rPr>
      <w:b/>
      <w:bCs/>
      <w:lang w:val="en-US"/>
    </w:rPr>
  </w:style>
  <w:style w:type="character" w:customStyle="1" w:styleId="CommentSubjectChar">
    <w:name w:val="Comment Subject Char"/>
    <w:basedOn w:val="CommentTextChar"/>
    <w:link w:val="CommentSubject"/>
    <w:uiPriority w:val="99"/>
    <w:semiHidden/>
    <w:rsid w:val="009B4374"/>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0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4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4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20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0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1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F01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01E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F01E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7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144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44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20F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84791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47918"/>
    <w:rPr>
      <w:sz w:val="20"/>
      <w:szCs w:val="20"/>
      <w:lang w:val="en-GB"/>
    </w:rPr>
  </w:style>
  <w:style w:type="paragraph" w:styleId="CommentText">
    <w:name w:val="annotation text"/>
    <w:basedOn w:val="Normal"/>
    <w:link w:val="CommentTextChar"/>
    <w:uiPriority w:val="99"/>
    <w:semiHidden/>
    <w:unhideWhenUsed/>
    <w:rsid w:val="00847918"/>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847918"/>
    <w:rPr>
      <w:sz w:val="20"/>
      <w:szCs w:val="20"/>
      <w:lang w:val="en-GB"/>
    </w:rPr>
  </w:style>
  <w:style w:type="character" w:styleId="FootnoteReference">
    <w:name w:val="footnote reference"/>
    <w:basedOn w:val="DefaultParagraphFont"/>
    <w:uiPriority w:val="99"/>
    <w:semiHidden/>
    <w:unhideWhenUsed/>
    <w:rsid w:val="00847918"/>
    <w:rPr>
      <w:vertAlign w:val="superscript"/>
    </w:rPr>
  </w:style>
  <w:style w:type="character" w:styleId="CommentReference">
    <w:name w:val="annotation reference"/>
    <w:basedOn w:val="DefaultParagraphFont"/>
    <w:uiPriority w:val="99"/>
    <w:semiHidden/>
    <w:unhideWhenUsed/>
    <w:rsid w:val="00847918"/>
    <w:rPr>
      <w:sz w:val="16"/>
      <w:szCs w:val="16"/>
    </w:rPr>
  </w:style>
  <w:style w:type="paragraph" w:styleId="BalloonText">
    <w:name w:val="Balloon Text"/>
    <w:basedOn w:val="Normal"/>
    <w:link w:val="BalloonTextChar"/>
    <w:uiPriority w:val="99"/>
    <w:semiHidden/>
    <w:unhideWhenUsed/>
    <w:rsid w:val="0084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18"/>
    <w:rPr>
      <w:rFonts w:ascii="Tahoma" w:hAnsi="Tahoma" w:cs="Tahoma"/>
      <w:sz w:val="16"/>
      <w:szCs w:val="16"/>
    </w:rPr>
  </w:style>
  <w:style w:type="character" w:styleId="Hyperlink">
    <w:name w:val="Hyperlink"/>
    <w:basedOn w:val="DefaultParagraphFont"/>
    <w:uiPriority w:val="99"/>
    <w:unhideWhenUsed/>
    <w:rsid w:val="00847918"/>
    <w:rPr>
      <w:color w:val="0000FF"/>
      <w:u w:val="single"/>
    </w:rPr>
  </w:style>
  <w:style w:type="paragraph" w:styleId="NormalWeb">
    <w:name w:val="Normal (Web)"/>
    <w:basedOn w:val="Normal"/>
    <w:uiPriority w:val="99"/>
    <w:semiHidden/>
    <w:unhideWhenUsed/>
    <w:rsid w:val="008479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94C8B"/>
    <w:pPr>
      <w:ind w:left="720"/>
      <w:contextualSpacing/>
    </w:pPr>
  </w:style>
  <w:style w:type="paragraph" w:styleId="CommentSubject">
    <w:name w:val="annotation subject"/>
    <w:basedOn w:val="CommentText"/>
    <w:next w:val="CommentText"/>
    <w:link w:val="CommentSubjectChar"/>
    <w:uiPriority w:val="99"/>
    <w:semiHidden/>
    <w:unhideWhenUsed/>
    <w:rsid w:val="009B4374"/>
    <w:pPr>
      <w:spacing w:after="200"/>
    </w:pPr>
    <w:rPr>
      <w:b/>
      <w:bCs/>
      <w:lang w:val="en-US"/>
    </w:rPr>
  </w:style>
  <w:style w:type="character" w:customStyle="1" w:styleId="CommentSubjectChar">
    <w:name w:val="Comment Subject Char"/>
    <w:basedOn w:val="CommentTextChar"/>
    <w:link w:val="CommentSubject"/>
    <w:uiPriority w:val="99"/>
    <w:semiHidden/>
    <w:rsid w:val="009B437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2878">
      <w:bodyDiv w:val="1"/>
      <w:marLeft w:val="0"/>
      <w:marRight w:val="0"/>
      <w:marTop w:val="0"/>
      <w:marBottom w:val="0"/>
      <w:divBdr>
        <w:top w:val="none" w:sz="0" w:space="0" w:color="auto"/>
        <w:left w:val="none" w:sz="0" w:space="0" w:color="auto"/>
        <w:bottom w:val="none" w:sz="0" w:space="0" w:color="auto"/>
        <w:right w:val="none" w:sz="0" w:space="0" w:color="auto"/>
      </w:divBdr>
    </w:div>
    <w:div w:id="8294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sa/3.0/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3.0/us/" TargetMode="External"/><Relationship Id="rId5" Type="http://schemas.openxmlformats.org/officeDocument/2006/relationships/settings" Target="settings.xml"/><Relationship Id="rId10" Type="http://schemas.openxmlformats.org/officeDocument/2006/relationships/hyperlink" Target="http://www.gnu.org/licenses" TargetMode="External"/><Relationship Id="rId4" Type="http://schemas.microsoft.com/office/2007/relationships/stylesWithEffects" Target="stylesWithEffects.xml"/><Relationship Id="rId9" Type="http://schemas.openxmlformats.org/officeDocument/2006/relationships/hyperlink" Target="http://creativecommons.org/licenses/by/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297E-0E32-4EE8-AD5C-69709F4C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2015-05-14T19:19:00Z</dcterms:created>
  <dcterms:modified xsi:type="dcterms:W3CDTF">2015-05-14T19:19:00Z</dcterms:modified>
</cp:coreProperties>
</file>