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14" w:rsidRPr="00FB5813" w:rsidRDefault="00FB5813" w:rsidP="00DC688C">
      <w:pPr>
        <w:rPr>
          <w:sz w:val="28"/>
          <w:u w:val="single"/>
        </w:rPr>
      </w:pPr>
      <w:r w:rsidRPr="00FB5813">
        <w:rPr>
          <w:sz w:val="28"/>
          <w:u w:val="single"/>
        </w:rPr>
        <w:t>Towards a Ro</w:t>
      </w:r>
      <w:r w:rsidR="008E6214">
        <w:rPr>
          <w:sz w:val="28"/>
          <w:u w:val="single"/>
        </w:rPr>
        <w:t>b</w:t>
      </w:r>
      <w:r w:rsidRPr="00FB5813">
        <w:rPr>
          <w:sz w:val="28"/>
          <w:u w:val="single"/>
        </w:rPr>
        <w:t>ust Data Capture Model for DDI 4</w:t>
      </w:r>
    </w:p>
    <w:p w:rsidR="00FB5813" w:rsidRDefault="008E6214" w:rsidP="00DC688C">
      <w:r>
        <w:t>Barry Radler, 9/28/15</w:t>
      </w:r>
    </w:p>
    <w:p w:rsidR="008E6214" w:rsidRDefault="008E6214" w:rsidP="00DC688C"/>
    <w:p w:rsidR="00272702" w:rsidRDefault="00272702" w:rsidP="00DC688C">
      <w:r>
        <w:t xml:space="preserve">The </w:t>
      </w:r>
      <w:r w:rsidR="006F544D">
        <w:t xml:space="preserve">current </w:t>
      </w:r>
      <w:r>
        <w:t xml:space="preserve">DDI </w:t>
      </w:r>
      <w:proofErr w:type="spellStart"/>
      <w:r w:rsidR="005C2D0D">
        <w:t>DataCapture</w:t>
      </w:r>
      <w:proofErr w:type="spellEnd"/>
      <w:r w:rsidR="005C2D0D">
        <w:t xml:space="preserve"> model </w:t>
      </w:r>
      <w:r>
        <w:t xml:space="preserve">is a parsimonious and robust </w:t>
      </w:r>
      <w:r w:rsidR="005C2D0D">
        <w:t>model that can document a variety of data capture contexts and ins</w:t>
      </w:r>
      <w:r w:rsidR="00376BC8">
        <w:t xml:space="preserve">truments. </w:t>
      </w:r>
      <w:r w:rsidR="006F544D">
        <w:t>In particular, i</w:t>
      </w:r>
      <w:r w:rsidR="00376BC8">
        <w:t>ts invocation of the Process model has streamlined the model so that many specific instrument functions</w:t>
      </w:r>
      <w:r w:rsidR="006F544D">
        <w:t xml:space="preserve">, </w:t>
      </w:r>
      <w:r w:rsidR="002347F3">
        <w:t>processes</w:t>
      </w:r>
      <w:r w:rsidR="006F544D">
        <w:t>, and controls</w:t>
      </w:r>
      <w:r w:rsidR="00376BC8">
        <w:t xml:space="preserve"> </w:t>
      </w:r>
      <w:r w:rsidR="007C7010">
        <w:t xml:space="preserve">can be </w:t>
      </w:r>
      <w:r w:rsidR="00376BC8">
        <w:t>re</w:t>
      </w:r>
      <w:r w:rsidR="004E22FC">
        <w:t xml:space="preserve">presented in the </w:t>
      </w:r>
      <w:r w:rsidR="007C7010">
        <w:t xml:space="preserve">Process model instead of Data Capture description. This approach </w:t>
      </w:r>
      <w:r w:rsidR="00DC688C">
        <w:t xml:space="preserve">is also sympathetic to </w:t>
      </w:r>
      <w:r w:rsidR="007C7010">
        <w:t xml:space="preserve">the </w:t>
      </w:r>
      <w:r>
        <w:t>modelling principle that there should not be more than one way to describe</w:t>
      </w:r>
      <w:r w:rsidR="00376BC8">
        <w:t>/document one thing.</w:t>
      </w:r>
      <w:r w:rsidR="00F92679">
        <w:t xml:space="preserve"> Indeed, the current </w:t>
      </w:r>
      <w:proofErr w:type="spellStart"/>
      <w:r w:rsidR="00F92679">
        <w:t>DataCapture</w:t>
      </w:r>
      <w:proofErr w:type="spellEnd"/>
      <w:r w:rsidR="00F92679">
        <w:t xml:space="preserve"> model appears capable of describing many things with a circumscribed set of modelling objects.</w:t>
      </w:r>
    </w:p>
    <w:p w:rsidR="00C97BC2" w:rsidRDefault="00C97BC2" w:rsidP="00DC688C"/>
    <w:p w:rsidR="00F92679" w:rsidRDefault="00376BC8" w:rsidP="00DC688C">
      <w:r>
        <w:t xml:space="preserve">To my way of thinking, the </w:t>
      </w:r>
      <w:r w:rsidR="00DC688C">
        <w:t>P</w:t>
      </w:r>
      <w:r>
        <w:t xml:space="preserve">rocess model </w:t>
      </w:r>
      <w:r w:rsidR="00C97BC2">
        <w:t xml:space="preserve">should </w:t>
      </w:r>
      <w:r>
        <w:t xml:space="preserve">replicate any type of instrument control, including </w:t>
      </w:r>
      <w:r w:rsidR="00C97BC2">
        <w:t xml:space="preserve">elements currently found in DDI 3.2 such as </w:t>
      </w:r>
      <w:proofErr w:type="spellStart"/>
      <w:r w:rsidR="00C97BC2">
        <w:t>QuestionGrid</w:t>
      </w:r>
      <w:proofErr w:type="spellEnd"/>
      <w:r w:rsidR="00C97BC2">
        <w:t xml:space="preserve"> and </w:t>
      </w:r>
      <w:proofErr w:type="spellStart"/>
      <w:r w:rsidR="00C97BC2">
        <w:t>QuestionBlock</w:t>
      </w:r>
      <w:proofErr w:type="spellEnd"/>
      <w:r w:rsidR="00C97BC2">
        <w:t xml:space="preserve">. As such, I argue that these elements are unnecessary in </w:t>
      </w:r>
      <w:r w:rsidR="006F544D">
        <w:t xml:space="preserve">the </w:t>
      </w:r>
      <w:r w:rsidR="00C97BC2">
        <w:t>DDI 4</w:t>
      </w:r>
      <w:r w:rsidR="006F544D">
        <w:t xml:space="preserve"> </w:t>
      </w:r>
      <w:proofErr w:type="spellStart"/>
      <w:r w:rsidR="006F544D">
        <w:t>DataCapture</w:t>
      </w:r>
      <w:proofErr w:type="spellEnd"/>
      <w:r w:rsidR="006F544D">
        <w:t xml:space="preserve"> model</w:t>
      </w:r>
      <w:r w:rsidR="00C97BC2">
        <w:t>.</w:t>
      </w:r>
      <w:r w:rsidR="006E3D5C">
        <w:t xml:space="preserve"> </w:t>
      </w:r>
    </w:p>
    <w:p w:rsidR="00F92679" w:rsidRDefault="00F92679" w:rsidP="00DC688C"/>
    <w:p w:rsidR="001C204D" w:rsidRDefault="006E3D5C" w:rsidP="004809D9">
      <w:pPr>
        <w:pStyle w:val="ListParagraph"/>
        <w:numPr>
          <w:ilvl w:val="0"/>
          <w:numId w:val="4"/>
        </w:numPr>
      </w:pPr>
      <w:r>
        <w:t xml:space="preserve">Starting with </w:t>
      </w:r>
      <w:proofErr w:type="spellStart"/>
      <w:r>
        <w:t>Question</w:t>
      </w:r>
      <w:r w:rsidR="001C204D">
        <w:t>Grid</w:t>
      </w:r>
      <w:proofErr w:type="spellEnd"/>
      <w:r w:rsidR="001C204D">
        <w:t xml:space="preserve">: </w:t>
      </w:r>
      <w:r>
        <w:t>“</w:t>
      </w:r>
      <w:r w:rsidR="001C204D" w:rsidRPr="001C204D">
        <w:t xml:space="preserve">Structures the </w:t>
      </w:r>
      <w:proofErr w:type="spellStart"/>
      <w:r w:rsidR="001C204D" w:rsidRPr="001C204D">
        <w:t>QuestionGrid</w:t>
      </w:r>
      <w:proofErr w:type="spellEnd"/>
      <w:r w:rsidR="001C204D" w:rsidRPr="001C204D">
        <w:t xml:space="preserve"> as an </w:t>
      </w:r>
      <w:proofErr w:type="spellStart"/>
      <w:r w:rsidR="001C204D" w:rsidRPr="001C204D">
        <w:t>NCube</w:t>
      </w:r>
      <w:proofErr w:type="spellEnd"/>
      <w:r w:rsidR="001C204D" w:rsidRPr="001C204D">
        <w:t>-like structure providing dimension information, labeling options, and response domains attached to one or more cells within the grid.</w:t>
      </w:r>
      <w:r w:rsidR="001C204D">
        <w:t>”</w:t>
      </w:r>
    </w:p>
    <w:p w:rsidR="001C204D" w:rsidRDefault="001C204D" w:rsidP="004809D9">
      <w:pPr>
        <w:pStyle w:val="ListParagraph"/>
        <w:numPr>
          <w:ilvl w:val="1"/>
          <w:numId w:val="4"/>
        </w:numPr>
      </w:pPr>
      <w:r>
        <w:t xml:space="preserve">This definition suggests </w:t>
      </w:r>
      <w:r w:rsidR="00376BC8">
        <w:t>that the grid is a way of describing and locating cells (question items) in a table (grid), such that</w:t>
      </w:r>
      <w:r w:rsidR="00BB68E9">
        <w:t xml:space="preserve"> in its simplest form,</w:t>
      </w:r>
      <w:r w:rsidR="00376BC8">
        <w:t xml:space="preserve"> one </w:t>
      </w:r>
      <w:r w:rsidR="00BB68E9">
        <w:t xml:space="preserve">response to one </w:t>
      </w:r>
      <w:r w:rsidR="00376BC8">
        <w:t xml:space="preserve">question is </w:t>
      </w:r>
      <w:r w:rsidR="00BB68E9">
        <w:t xml:space="preserve">the cell in </w:t>
      </w:r>
      <w:r w:rsidR="00376BC8">
        <w:t xml:space="preserve">a 1x1 grid. This distinction seems semantical; one can also identify a cell by its question number or identifier or label, and can define its </w:t>
      </w:r>
      <w:r w:rsidR="00FB3A9A">
        <w:t>“</w:t>
      </w:r>
      <w:r w:rsidR="00376BC8">
        <w:t>location</w:t>
      </w:r>
      <w:r w:rsidR="00FB3A9A">
        <w:t>”</w:t>
      </w:r>
      <w:r w:rsidR="00376BC8">
        <w:t xml:space="preserve"> via the </w:t>
      </w:r>
      <w:r w:rsidR="00DC688C">
        <w:t>Process</w:t>
      </w:r>
      <w:r w:rsidR="00376BC8">
        <w:t xml:space="preserve"> model (</w:t>
      </w:r>
      <w:r w:rsidR="00FB3A9A">
        <w:t xml:space="preserve">its location in a </w:t>
      </w:r>
      <w:r w:rsidR="00376BC8">
        <w:t xml:space="preserve">sequence). </w:t>
      </w:r>
      <w:r w:rsidR="00056996">
        <w:t>If a</w:t>
      </w:r>
      <w:r>
        <w:t xml:space="preserve"> question grid </w:t>
      </w:r>
      <w:r w:rsidR="00056996">
        <w:t xml:space="preserve">can represent or locate </w:t>
      </w:r>
      <w:r>
        <w:t xml:space="preserve">a cell </w:t>
      </w:r>
      <w:r w:rsidR="00056996">
        <w:t xml:space="preserve">as </w:t>
      </w:r>
      <w:r>
        <w:t xml:space="preserve">a specific sequence of if-then-else steps, then the </w:t>
      </w:r>
      <w:r w:rsidR="00056996">
        <w:t>P</w:t>
      </w:r>
      <w:r>
        <w:t xml:space="preserve">rocess model can adequately represent a question grid. </w:t>
      </w:r>
    </w:p>
    <w:p w:rsidR="00B63C6C" w:rsidRDefault="00056996" w:rsidP="004809D9">
      <w:pPr>
        <w:pStyle w:val="ListParagraph"/>
        <w:numPr>
          <w:ilvl w:val="2"/>
          <w:numId w:val="4"/>
        </w:numPr>
      </w:pPr>
      <w:r>
        <w:t xml:space="preserve">To elaborate, </w:t>
      </w:r>
      <w:r w:rsidR="00073CEA" w:rsidRPr="00534170">
        <w:rPr>
          <w:i/>
        </w:rPr>
        <w:t xml:space="preserve">a </w:t>
      </w:r>
      <w:r w:rsidRPr="00534170">
        <w:rPr>
          <w:i/>
        </w:rPr>
        <w:t xml:space="preserve">question </w:t>
      </w:r>
      <w:r w:rsidR="00073CEA" w:rsidRPr="00534170">
        <w:rPr>
          <w:i/>
        </w:rPr>
        <w:t>grid is more appropriately considered a modal artifact</w:t>
      </w:r>
      <w:r w:rsidR="00073CEA">
        <w:t xml:space="preserve"> (a characteristic of a specific administration mode) than an object in its own right</w:t>
      </w:r>
      <w:r w:rsidR="00FB3A9A">
        <w:t xml:space="preserve">. </w:t>
      </w:r>
    </w:p>
    <w:p w:rsidR="00073CEA" w:rsidRDefault="00FB3A9A" w:rsidP="00B63C6C">
      <w:pPr>
        <w:pStyle w:val="ListParagraph"/>
        <w:numPr>
          <w:ilvl w:val="3"/>
          <w:numId w:val="4"/>
        </w:numPr>
      </w:pPr>
      <w:r>
        <w:t>C</w:t>
      </w:r>
      <w:r w:rsidR="00073CEA">
        <w:t xml:space="preserve">onsider a household roster that enumerates and characterizes the members of a respondent’s household. In a self-administered </w:t>
      </w:r>
      <w:r w:rsidR="00E97ABC">
        <w:t xml:space="preserve">mode, </w:t>
      </w:r>
      <w:r w:rsidR="00073CEA">
        <w:t xml:space="preserve">it makes sense to </w:t>
      </w:r>
      <w:r w:rsidR="00E97ABC">
        <w:t>re</w:t>
      </w:r>
      <w:r w:rsidR="00073CEA">
        <w:t xml:space="preserve">present </w:t>
      </w:r>
      <w:r w:rsidR="00E97ABC">
        <w:t xml:space="preserve">the series of questions in a HH roster </w:t>
      </w:r>
      <w:r w:rsidR="00073CEA">
        <w:t xml:space="preserve">to the respondent </w:t>
      </w:r>
      <w:r w:rsidR="00E97ABC">
        <w:t xml:space="preserve">in </w:t>
      </w:r>
      <w:r w:rsidR="00073CEA">
        <w:t>grid</w:t>
      </w:r>
      <w:r w:rsidR="00E97ABC">
        <w:t xml:space="preserve"> form. This mode of administration eases the data entry (by the respondent), and </w:t>
      </w:r>
      <w:r w:rsidR="00E064A2">
        <w:t xml:space="preserve">data capture, transcription, and </w:t>
      </w:r>
      <w:r w:rsidR="00E97ABC">
        <w:t>cleaning (by the data “capturer”)</w:t>
      </w:r>
      <w:proofErr w:type="gramStart"/>
      <w:r w:rsidR="00073CEA">
        <w:t>.</w:t>
      </w:r>
      <w:r w:rsidR="00E97ABC">
        <w:t xml:space="preserve"> </w:t>
      </w:r>
      <w:r w:rsidR="00073CEA">
        <w:t xml:space="preserve"> </w:t>
      </w:r>
      <w:proofErr w:type="gramEnd"/>
      <w:r w:rsidR="00E064A2">
        <w:t xml:space="preserve">But </w:t>
      </w:r>
      <w:r w:rsidR="007C09FE">
        <w:t xml:space="preserve">the </w:t>
      </w:r>
      <w:r w:rsidR="00E064A2">
        <w:t xml:space="preserve">question grid is </w:t>
      </w:r>
      <w:r w:rsidR="00DE43C1">
        <w:t xml:space="preserve">indigenous to </w:t>
      </w:r>
      <w:r w:rsidR="007C09FE">
        <w:t xml:space="preserve">this </w:t>
      </w:r>
      <w:r w:rsidR="00E064A2">
        <w:t xml:space="preserve">mode of administration, </w:t>
      </w:r>
      <w:r w:rsidR="007C09FE">
        <w:t xml:space="preserve">and is </w:t>
      </w:r>
      <w:r w:rsidR="00E064A2">
        <w:t xml:space="preserve">not a necessary individual element of </w:t>
      </w:r>
      <w:r w:rsidR="007C09FE">
        <w:t>a</w:t>
      </w:r>
      <w:r w:rsidR="00DE43C1">
        <w:t xml:space="preserve"> comprehensive</w:t>
      </w:r>
      <w:r w:rsidR="007C09FE">
        <w:t xml:space="preserve"> </w:t>
      </w:r>
      <w:r w:rsidR="00E064A2">
        <w:t>data capture</w:t>
      </w:r>
      <w:r w:rsidR="007C09FE">
        <w:t xml:space="preserve"> model</w:t>
      </w:r>
      <w:r w:rsidR="00DE43C1">
        <w:t xml:space="preserve"> because t</w:t>
      </w:r>
      <w:r w:rsidR="00E064A2">
        <w:t xml:space="preserve">he same series of HH roster questions </w:t>
      </w:r>
      <w:r w:rsidR="00850BEB">
        <w:t xml:space="preserve">could </w:t>
      </w:r>
      <w:r w:rsidR="00E064A2">
        <w:t xml:space="preserve">be administered </w:t>
      </w:r>
      <w:r w:rsidR="00DE43C1">
        <w:t xml:space="preserve">in a phone survey </w:t>
      </w:r>
      <w:r w:rsidR="00850BEB">
        <w:t xml:space="preserve">by an interviewer using </w:t>
      </w:r>
      <w:r w:rsidR="00E064A2">
        <w:t xml:space="preserve">CAI </w:t>
      </w:r>
      <w:r w:rsidR="00850BEB">
        <w:t>software</w:t>
      </w:r>
      <w:r w:rsidR="00DE43C1">
        <w:t xml:space="preserve">. In this instance, </w:t>
      </w:r>
      <w:r w:rsidR="00E064A2">
        <w:t xml:space="preserve">a grid is not </w:t>
      </w:r>
      <w:r w:rsidR="00850BEB">
        <w:t>only un</w:t>
      </w:r>
      <w:r w:rsidR="00E064A2">
        <w:t xml:space="preserve">necessary </w:t>
      </w:r>
      <w:r w:rsidR="00850BEB">
        <w:t xml:space="preserve">but </w:t>
      </w:r>
      <w:r w:rsidR="00E064A2">
        <w:t>could prove inef</w:t>
      </w:r>
      <w:r w:rsidR="00850BEB">
        <w:t xml:space="preserve">ficient to administer and code </w:t>
      </w:r>
      <w:r w:rsidR="0094230A">
        <w:t xml:space="preserve">by the control language used in the CAI program. </w:t>
      </w:r>
    </w:p>
    <w:p w:rsidR="0087523E" w:rsidRDefault="001A256B" w:rsidP="004809D9">
      <w:pPr>
        <w:pStyle w:val="ListParagraph"/>
        <w:numPr>
          <w:ilvl w:val="2"/>
          <w:numId w:val="4"/>
        </w:numPr>
      </w:pPr>
      <w:r>
        <w:t xml:space="preserve">The mode-related issues associated with </w:t>
      </w:r>
      <w:proofErr w:type="spellStart"/>
      <w:r>
        <w:t>QuestionGrid</w:t>
      </w:r>
      <w:proofErr w:type="spellEnd"/>
      <w:r>
        <w:t xml:space="preserve"> dovetail somewhat with display-related characteristics that DDI has traditionally avoided describing, i.e., typography, fonts, size, graphic design, layout, etc. </w:t>
      </w:r>
      <w:r w:rsidR="0087523E">
        <w:t>Yet this information is legitimate metadata that is critical to accurately describing some instruments and measures.</w:t>
      </w:r>
    </w:p>
    <w:p w:rsidR="001A256B" w:rsidRDefault="001A256B" w:rsidP="006501D9">
      <w:pPr>
        <w:pStyle w:val="ListParagraph"/>
        <w:numPr>
          <w:ilvl w:val="3"/>
          <w:numId w:val="4"/>
        </w:numPr>
      </w:pPr>
      <w:r>
        <w:t xml:space="preserve">The Process model, along with the </w:t>
      </w:r>
      <w:proofErr w:type="spellStart"/>
      <w:r>
        <w:t>ExternalAid</w:t>
      </w:r>
      <w:proofErr w:type="spellEnd"/>
      <w:r>
        <w:t xml:space="preserve"> object</w:t>
      </w:r>
      <w:r w:rsidR="0087523E">
        <w:t xml:space="preserve"> in </w:t>
      </w:r>
      <w:proofErr w:type="spellStart"/>
      <w:r w:rsidR="0087523E">
        <w:t>DataCapture</w:t>
      </w:r>
      <w:proofErr w:type="spellEnd"/>
      <w:r>
        <w:t>, should be able to adequately document all of the elements in this data capture context, i.e., a set of related questions administered in sequence in a specific mode with specific display</w:t>
      </w:r>
      <w:r w:rsidR="0087523E">
        <w:t xml:space="preserve"> characteristics</w:t>
      </w:r>
      <w:r>
        <w:t>.</w:t>
      </w:r>
      <w:r w:rsidR="0087523E">
        <w:t xml:space="preserve"> (Or should it?)</w:t>
      </w:r>
    </w:p>
    <w:p w:rsidR="00850BEB" w:rsidRDefault="00850BEB" w:rsidP="004809D9">
      <w:pPr>
        <w:pStyle w:val="ListParagraph"/>
        <w:numPr>
          <w:ilvl w:val="2"/>
          <w:numId w:val="4"/>
        </w:numPr>
      </w:pPr>
      <w:r>
        <w:t xml:space="preserve">Taken to its logical extreme, if </w:t>
      </w:r>
      <w:r w:rsidR="006C4616">
        <w:t xml:space="preserve">DDI </w:t>
      </w:r>
      <w:r>
        <w:t>accept</w:t>
      </w:r>
      <w:r w:rsidR="006C4616">
        <w:t>s</w:t>
      </w:r>
      <w:r>
        <w:t xml:space="preserve"> </w:t>
      </w:r>
      <w:r w:rsidR="006501D9">
        <w:t xml:space="preserve">the </w:t>
      </w:r>
      <w:proofErr w:type="spellStart"/>
      <w:r>
        <w:t>QuestionGrid</w:t>
      </w:r>
      <w:proofErr w:type="spellEnd"/>
      <w:r>
        <w:t xml:space="preserve"> </w:t>
      </w:r>
      <w:r w:rsidR="006501D9">
        <w:t xml:space="preserve">object </w:t>
      </w:r>
      <w:r w:rsidR="007C09FE">
        <w:t>as</w:t>
      </w:r>
      <w:r>
        <w:t xml:space="preserve"> a mode-specific series of related </w:t>
      </w:r>
      <w:r w:rsidR="004C15CD">
        <w:t xml:space="preserve">itemized </w:t>
      </w:r>
      <w:r>
        <w:t>questions</w:t>
      </w:r>
      <w:r w:rsidR="006C4616">
        <w:t xml:space="preserve"> like </w:t>
      </w:r>
      <w:r w:rsidR="004C15CD">
        <w:t xml:space="preserve">those found in </w:t>
      </w:r>
      <w:r w:rsidR="006C4616">
        <w:t>a HH roster, then what is to keep DDI from introducing other mode-specific elements in DDI 4</w:t>
      </w:r>
      <w:r w:rsidR="001F6B3B">
        <w:t xml:space="preserve"> that describe evermore idiosyncratic data </w:t>
      </w:r>
      <w:r w:rsidR="001F6B3B">
        <w:lastRenderedPageBreak/>
        <w:t xml:space="preserve">capture situations? </w:t>
      </w:r>
      <w:r w:rsidR="00442515">
        <w:t xml:space="preserve">Extend </w:t>
      </w:r>
      <w:r w:rsidR="00534170">
        <w:t xml:space="preserve">the </w:t>
      </w:r>
      <w:proofErr w:type="spellStart"/>
      <w:r w:rsidR="00534170">
        <w:t>QuestionGrid</w:t>
      </w:r>
      <w:proofErr w:type="spellEnd"/>
      <w:r w:rsidR="00534170">
        <w:t xml:space="preserve"> situation </w:t>
      </w:r>
      <w:r w:rsidR="005C1957">
        <w:t xml:space="preserve">to other domains (e.g. clinical measures, cognitive assessments, </w:t>
      </w:r>
      <w:r w:rsidR="00534170">
        <w:t xml:space="preserve">laboratory experiments, </w:t>
      </w:r>
      <w:r w:rsidR="005C1957">
        <w:t xml:space="preserve">multi-media product development </w:t>
      </w:r>
      <w:r w:rsidR="007F5CB4">
        <w:t>research</w:t>
      </w:r>
      <w:r w:rsidR="005C1957">
        <w:t>, etc.</w:t>
      </w:r>
      <w:r w:rsidR="007F5CB4">
        <w:t xml:space="preserve">) and </w:t>
      </w:r>
      <w:proofErr w:type="spellStart"/>
      <w:r w:rsidR="007F5CB4">
        <w:t>DataCapture</w:t>
      </w:r>
      <w:proofErr w:type="spellEnd"/>
      <w:r w:rsidR="007F5CB4">
        <w:t xml:space="preserve"> becomes a top-heavy model overpopulated with objects</w:t>
      </w:r>
      <w:r w:rsidR="0050000A">
        <w:t xml:space="preserve"> that describe a specific mode</w:t>
      </w:r>
      <w:r w:rsidR="00442515">
        <w:t>.</w:t>
      </w:r>
      <w:r w:rsidR="006C4616">
        <w:t xml:space="preserve"> </w:t>
      </w:r>
      <w:bookmarkStart w:id="0" w:name="_GoBack"/>
      <w:bookmarkEnd w:id="0"/>
    </w:p>
    <w:p w:rsidR="004809D9" w:rsidRDefault="00DB6270" w:rsidP="004809D9">
      <w:pPr>
        <w:pStyle w:val="ListParagraph"/>
        <w:numPr>
          <w:ilvl w:val="0"/>
          <w:numId w:val="4"/>
        </w:numPr>
      </w:pPr>
      <w:r>
        <w:t xml:space="preserve">Another example of </w:t>
      </w:r>
      <w:r w:rsidR="00C73403">
        <w:t xml:space="preserve">potentially </w:t>
      </w:r>
      <w:r w:rsidR="00F92679">
        <w:t>unnecessary</w:t>
      </w:r>
      <w:r>
        <w:t xml:space="preserve"> </w:t>
      </w:r>
      <w:r w:rsidR="00C73403">
        <w:t xml:space="preserve">objects </w:t>
      </w:r>
      <w:r>
        <w:t xml:space="preserve">in DDI 3.2 is </w:t>
      </w:r>
      <w:proofErr w:type="spellStart"/>
      <w:r>
        <w:t>QuestionBlock</w:t>
      </w:r>
      <w:proofErr w:type="spellEnd"/>
      <w:r>
        <w:t xml:space="preserve">. </w:t>
      </w:r>
      <w:r w:rsidR="00376BC8">
        <w:t>“</w:t>
      </w:r>
      <w:r w:rsidR="00376BC8" w:rsidRPr="00376BC8">
        <w:t xml:space="preserve">A </w:t>
      </w:r>
      <w:proofErr w:type="spellStart"/>
      <w:r w:rsidR="00376BC8" w:rsidRPr="00376BC8">
        <w:t>QuestionBlock</w:t>
      </w:r>
      <w:proofErr w:type="spellEnd"/>
      <w:r w:rsidR="00376BC8" w:rsidRPr="00376BC8">
        <w:t xml:space="preserve"> is a specific structure used in educational and other types of testing where an object (Stimulus Material) is provided and a set of questions</w:t>
      </w:r>
      <w:r>
        <w:t xml:space="preserve"> are asked regarding the object.”</w:t>
      </w:r>
      <w:r w:rsidR="004C14DE">
        <w:t xml:space="preserve"> </w:t>
      </w:r>
    </w:p>
    <w:p w:rsidR="00376BC8" w:rsidRDefault="00005145" w:rsidP="004809D9">
      <w:pPr>
        <w:pStyle w:val="ListParagraph"/>
        <w:numPr>
          <w:ilvl w:val="1"/>
          <w:numId w:val="4"/>
        </w:numPr>
      </w:pPr>
      <w:proofErr w:type="spellStart"/>
      <w:r>
        <w:t>QuestionBlock</w:t>
      </w:r>
      <w:proofErr w:type="spellEnd"/>
      <w:r>
        <w:t xml:space="preserve"> does not have the same modal overtures that </w:t>
      </w:r>
      <w:proofErr w:type="spellStart"/>
      <w:r w:rsidR="007F5CB4">
        <w:t>Question</w:t>
      </w:r>
      <w:r>
        <w:t>Grid</w:t>
      </w:r>
      <w:proofErr w:type="spellEnd"/>
      <w:r>
        <w:t xml:space="preserve"> does, but it is another </w:t>
      </w:r>
      <w:r w:rsidR="004C14DE">
        <w:t xml:space="preserve">idiosyncratic data capture situation </w:t>
      </w:r>
      <w:r>
        <w:t xml:space="preserve">that is using an object designed specifically to describe one type of </w:t>
      </w:r>
      <w:r w:rsidR="00012ED7">
        <w:t xml:space="preserve">data capture situation. The instrument and/or measures used in a </w:t>
      </w:r>
      <w:proofErr w:type="spellStart"/>
      <w:r w:rsidR="00012ED7">
        <w:t>QuestionBlock</w:t>
      </w:r>
      <w:proofErr w:type="spellEnd"/>
      <w:r w:rsidR="00012ED7">
        <w:t xml:space="preserve"> situation are not that different from any other survey-type data capture. As such, the specific characteristics that make it unique (such as use of Stimulus Material, a characteristic shared by many other instrument types like intelligence tests and cognitive assessments) </w:t>
      </w:r>
      <w:r w:rsidR="001A256B">
        <w:t xml:space="preserve">are more appropriately described by invoking </w:t>
      </w:r>
      <w:proofErr w:type="spellStart"/>
      <w:r w:rsidR="001A256B">
        <w:t>ExternalAid</w:t>
      </w:r>
      <w:proofErr w:type="spellEnd"/>
      <w:r w:rsidR="001A256B">
        <w:t xml:space="preserve"> within </w:t>
      </w:r>
      <w:proofErr w:type="spellStart"/>
      <w:r w:rsidR="001A256B">
        <w:t>DataCapture</w:t>
      </w:r>
      <w:proofErr w:type="spellEnd"/>
      <w:r w:rsidR="001A256B">
        <w:t xml:space="preserve">, or by moving this description to the </w:t>
      </w:r>
      <w:r w:rsidR="00012ED7">
        <w:t>Methodology</w:t>
      </w:r>
      <w:r w:rsidR="001A256B">
        <w:t xml:space="preserve"> model. </w:t>
      </w:r>
    </w:p>
    <w:p w:rsidR="005C2D0D" w:rsidRDefault="000A337F" w:rsidP="004809D9">
      <w:pPr>
        <w:pStyle w:val="ListParagraph"/>
        <w:numPr>
          <w:ilvl w:val="0"/>
          <w:numId w:val="4"/>
        </w:numPr>
      </w:pPr>
      <w:r>
        <w:t>Ultimately, t</w:t>
      </w:r>
      <w:r w:rsidR="005C2D0D">
        <w:t xml:space="preserve">he inclusion of Grid and Block in the model </w:t>
      </w:r>
      <w:r>
        <w:t xml:space="preserve">(as individual objects) </w:t>
      </w:r>
      <w:r w:rsidR="005C2D0D">
        <w:t>should be determined by whether use cases can or cannot be implemented</w:t>
      </w:r>
      <w:r w:rsidR="00733B2A">
        <w:t xml:space="preserve"> </w:t>
      </w:r>
      <w:r w:rsidR="00376BC8">
        <w:t xml:space="preserve">by using the current </w:t>
      </w:r>
      <w:proofErr w:type="spellStart"/>
      <w:r w:rsidR="00376BC8">
        <w:t>DataCapture</w:t>
      </w:r>
      <w:proofErr w:type="spellEnd"/>
      <w:r w:rsidR="00376BC8">
        <w:t xml:space="preserve"> model. </w:t>
      </w:r>
      <w:r w:rsidR="00733B2A">
        <w:t>If the Grid or Block use cases break the current model then such objects should be appended, and there should be some forethought how/where they would be included.</w:t>
      </w:r>
    </w:p>
    <w:p w:rsidR="00463EC7" w:rsidRDefault="00C45467" w:rsidP="004809D9">
      <w:pPr>
        <w:pStyle w:val="ListParagraph"/>
        <w:numPr>
          <w:ilvl w:val="1"/>
          <w:numId w:val="4"/>
        </w:numPr>
      </w:pPr>
      <w:r>
        <w:t xml:space="preserve">If Grid and Block are unnecessary as individual objects in </w:t>
      </w:r>
      <w:proofErr w:type="spellStart"/>
      <w:r>
        <w:t>DataCapture</w:t>
      </w:r>
      <w:proofErr w:type="spellEnd"/>
      <w:r>
        <w:t xml:space="preserve">, then </w:t>
      </w:r>
      <w:r w:rsidRPr="00FB5813">
        <w:rPr>
          <w:b/>
          <w:i/>
        </w:rPr>
        <w:t>an alternative scheme needs to be offered that clearly describes where/how such data captures are described in the new DDI 4 model</w:t>
      </w:r>
      <w:r>
        <w:t>.</w:t>
      </w:r>
      <w:r w:rsidR="007F5CB4">
        <w:t xml:space="preserve"> Some parties have been resistant to removing Grid and Block because </w:t>
      </w:r>
      <w:r w:rsidR="005630AC">
        <w:t xml:space="preserve">they have been used quite extensively in some situations and integrated into workflows. This is a legitimate objection, but not a sufficient reason for their inclusion in a new model-based </w:t>
      </w:r>
      <w:proofErr w:type="spellStart"/>
      <w:r w:rsidR="005630AC">
        <w:t>DataCapture</w:t>
      </w:r>
      <w:proofErr w:type="spellEnd"/>
      <w:r w:rsidR="005630AC">
        <w:t xml:space="preserve"> view. Nonetheless, </w:t>
      </w:r>
      <w:r w:rsidR="008F49D1">
        <w:t xml:space="preserve">use cases for Grids and Blocks need to describe where/how they live in the </w:t>
      </w:r>
      <w:proofErr w:type="spellStart"/>
      <w:r w:rsidR="008F49D1">
        <w:t>DataCapture</w:t>
      </w:r>
      <w:proofErr w:type="spellEnd"/>
      <w:r w:rsidR="008F49D1">
        <w:t xml:space="preserve"> model. </w:t>
      </w:r>
      <w:r w:rsidR="008706F7">
        <w:t xml:space="preserve">In </w:t>
      </w:r>
      <w:proofErr w:type="spellStart"/>
      <w:r w:rsidR="008706F7">
        <w:t>InstrumentComponent</w:t>
      </w:r>
      <w:proofErr w:type="spellEnd"/>
      <w:r w:rsidR="008706F7">
        <w:t xml:space="preserve">, Measurement, </w:t>
      </w:r>
      <w:proofErr w:type="spellStart"/>
      <w:r w:rsidR="008706F7">
        <w:t>ExternalAid</w:t>
      </w:r>
      <w:proofErr w:type="spellEnd"/>
      <w:r w:rsidR="008706F7">
        <w:t>, Statement, through a combination of these objects?</w:t>
      </w:r>
    </w:p>
    <w:p w:rsidR="004E22FC" w:rsidRDefault="004E22FC" w:rsidP="00DC688C"/>
    <w:p w:rsidR="004E22FC" w:rsidRDefault="004E22FC" w:rsidP="00DC688C">
      <w:r>
        <w:t xml:space="preserve">The resolution of the above issues will determine which of two directions the development of the </w:t>
      </w:r>
      <w:proofErr w:type="spellStart"/>
      <w:r>
        <w:t>DataCapture</w:t>
      </w:r>
      <w:proofErr w:type="spellEnd"/>
      <w:r>
        <w:t xml:space="preserve"> model proceeds: (1) a </w:t>
      </w:r>
      <w:r w:rsidR="00463EC7">
        <w:t>elegant</w:t>
      </w:r>
      <w:r>
        <w:t xml:space="preserve"> model able to </w:t>
      </w:r>
      <w:r w:rsidR="00205CCB">
        <w:t xml:space="preserve">describe many data capture processes using a minimum of </w:t>
      </w:r>
      <w:r w:rsidR="00463EC7">
        <w:t xml:space="preserve">robust </w:t>
      </w:r>
      <w:r w:rsidR="00205CCB">
        <w:t xml:space="preserve">elements or descriptors; or (2) a complicated model able to describe many data capture processes with an ever-expanding set (as new data capture situations are invented or described) of individual </w:t>
      </w:r>
      <w:r w:rsidR="00164316">
        <w:t xml:space="preserve">and highly specific </w:t>
      </w:r>
      <w:r w:rsidR="00205CCB">
        <w:t>elements</w:t>
      </w:r>
      <w:r w:rsidR="00164316">
        <w:t>.</w:t>
      </w:r>
      <w:r w:rsidR="00205CCB">
        <w:t xml:space="preserve"> </w:t>
      </w:r>
    </w:p>
    <w:sectPr w:rsidR="004E2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73346"/>
    <w:multiLevelType w:val="hybridMultilevel"/>
    <w:tmpl w:val="83026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0782D"/>
    <w:multiLevelType w:val="hybridMultilevel"/>
    <w:tmpl w:val="D2D24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20EA1"/>
    <w:multiLevelType w:val="hybridMultilevel"/>
    <w:tmpl w:val="B8201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F57D0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702"/>
    <w:rsid w:val="00005145"/>
    <w:rsid w:val="00012ED7"/>
    <w:rsid w:val="00056996"/>
    <w:rsid w:val="00073CEA"/>
    <w:rsid w:val="000A337F"/>
    <w:rsid w:val="00164316"/>
    <w:rsid w:val="001A256B"/>
    <w:rsid w:val="001C204D"/>
    <w:rsid w:val="001F6B3B"/>
    <w:rsid w:val="00205CCB"/>
    <w:rsid w:val="002347F3"/>
    <w:rsid w:val="00272702"/>
    <w:rsid w:val="00376BC8"/>
    <w:rsid w:val="00434666"/>
    <w:rsid w:val="00442515"/>
    <w:rsid w:val="00463EC7"/>
    <w:rsid w:val="004809D9"/>
    <w:rsid w:val="004C14DE"/>
    <w:rsid w:val="004C15CD"/>
    <w:rsid w:val="004E22FC"/>
    <w:rsid w:val="004E4F9B"/>
    <w:rsid w:val="0050000A"/>
    <w:rsid w:val="00534170"/>
    <w:rsid w:val="005630AC"/>
    <w:rsid w:val="005C1957"/>
    <w:rsid w:val="005C2D0D"/>
    <w:rsid w:val="005D19E5"/>
    <w:rsid w:val="00625B42"/>
    <w:rsid w:val="006501D9"/>
    <w:rsid w:val="006C4616"/>
    <w:rsid w:val="006E3D5C"/>
    <w:rsid w:val="006F544D"/>
    <w:rsid w:val="00733B2A"/>
    <w:rsid w:val="007C09FE"/>
    <w:rsid w:val="007C7010"/>
    <w:rsid w:val="007F5CB4"/>
    <w:rsid w:val="00850BEB"/>
    <w:rsid w:val="008706F7"/>
    <w:rsid w:val="0087523E"/>
    <w:rsid w:val="008E6214"/>
    <w:rsid w:val="008F49D1"/>
    <w:rsid w:val="009029DE"/>
    <w:rsid w:val="00902AD5"/>
    <w:rsid w:val="0094230A"/>
    <w:rsid w:val="00B63C6C"/>
    <w:rsid w:val="00BB68E9"/>
    <w:rsid w:val="00C45467"/>
    <w:rsid w:val="00C55A21"/>
    <w:rsid w:val="00C73403"/>
    <w:rsid w:val="00C90D15"/>
    <w:rsid w:val="00C97BC2"/>
    <w:rsid w:val="00DB6270"/>
    <w:rsid w:val="00DC688C"/>
    <w:rsid w:val="00DE43C1"/>
    <w:rsid w:val="00E064A2"/>
    <w:rsid w:val="00E97ABC"/>
    <w:rsid w:val="00F92679"/>
    <w:rsid w:val="00FB3A9A"/>
    <w:rsid w:val="00FB5813"/>
    <w:rsid w:val="00FD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7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46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7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46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3555</TotalTime>
  <Pages>2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bradler</dc:creator>
  <cp:lastModifiedBy>bradler</cp:lastModifiedBy>
  <cp:revision>15</cp:revision>
  <dcterms:created xsi:type="dcterms:W3CDTF">2014-11-11T13:47:00Z</dcterms:created>
  <dcterms:modified xsi:type="dcterms:W3CDTF">2015-09-29T20:22:00Z</dcterms:modified>
</cp:coreProperties>
</file>