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EEF7" w14:textId="77777777" w:rsidR="008E626B" w:rsidRPr="008E626B" w:rsidRDefault="008E626B" w:rsidP="008E626B">
      <w:pPr>
        <w:jc w:val="center"/>
        <w:rPr>
          <w:b/>
          <w:lang w:val="en-GB"/>
        </w:rPr>
      </w:pPr>
      <w:r w:rsidRPr="008E626B">
        <w:rPr>
          <w:b/>
          <w:lang w:val="en-GB"/>
        </w:rPr>
        <w:t xml:space="preserve">DDI Scientific Plan </w:t>
      </w:r>
      <w:r w:rsidR="00C12BCD">
        <w:rPr>
          <w:b/>
          <w:lang w:val="en-GB"/>
        </w:rPr>
        <w:t>(</w:t>
      </w:r>
      <w:r w:rsidRPr="008E626B">
        <w:rPr>
          <w:b/>
          <w:lang w:val="en-GB"/>
        </w:rPr>
        <w:t xml:space="preserve">2021 </w:t>
      </w:r>
      <w:r w:rsidR="00C12BCD">
        <w:rPr>
          <w:b/>
          <w:lang w:val="en-GB"/>
        </w:rPr>
        <w:t>–</w:t>
      </w:r>
      <w:r w:rsidRPr="008E626B">
        <w:rPr>
          <w:b/>
          <w:lang w:val="en-GB"/>
        </w:rPr>
        <w:t xml:space="preserve"> 2022</w:t>
      </w:r>
      <w:r w:rsidR="00C12BCD">
        <w:rPr>
          <w:b/>
          <w:lang w:val="en-GB"/>
        </w:rPr>
        <w:t>)</w:t>
      </w:r>
    </w:p>
    <w:p w14:paraId="28412E55" w14:textId="77777777" w:rsidR="008E626B" w:rsidRDefault="008E626B">
      <w:pPr>
        <w:rPr>
          <w:lang w:val="en-GB"/>
        </w:rPr>
      </w:pPr>
    </w:p>
    <w:p w14:paraId="679B39FC" w14:textId="77777777" w:rsidR="008E626B" w:rsidRPr="008E626B" w:rsidRDefault="008E626B">
      <w:pPr>
        <w:rPr>
          <w:b/>
          <w:lang w:val="en-GB"/>
        </w:rPr>
      </w:pPr>
      <w:r w:rsidRPr="008E626B">
        <w:rPr>
          <w:b/>
          <w:lang w:val="en-GB"/>
        </w:rPr>
        <w:t>Preface</w:t>
      </w:r>
    </w:p>
    <w:p w14:paraId="3D51ADB3" w14:textId="7EDFA174" w:rsidR="00415FE4" w:rsidRDefault="00F6216F">
      <w:pPr>
        <w:rPr>
          <w:lang w:val="en-GB"/>
        </w:rPr>
      </w:pPr>
      <w:r>
        <w:rPr>
          <w:lang w:val="en-GB"/>
        </w:rPr>
        <w:t xml:space="preserve">The Scientific Board of the DDI Alliance was reorganized by a change in the Bylaws as approved by the membership in 2020. The reorganization was based on the proposal of a temporary working group to create a more proactive and larger entity with a clearer oversight and administrative role. The members of the new Scientific Board were elected in 2020 and serve </w:t>
      </w:r>
      <w:r w:rsidR="00415FE4">
        <w:rPr>
          <w:lang w:val="en-GB"/>
        </w:rPr>
        <w:t>4-year</w:t>
      </w:r>
      <w:r>
        <w:rPr>
          <w:lang w:val="en-GB"/>
        </w:rPr>
        <w:t xml:space="preserve"> terms (January 2021 – December 2024). </w:t>
      </w:r>
      <w:r w:rsidR="00415FE4">
        <w:rPr>
          <w:lang w:val="en-GB"/>
        </w:rPr>
        <w:t xml:space="preserve">Note that for the initial board half the members will serve 2-year terms so that in the future the terms of board members will be staggered with elections taking place every 2 years. The Scientific Board has elected a chair and vice-chair from within its membership and these positions will serve 2 year terms. </w:t>
      </w:r>
      <w:r w:rsidR="008E626B">
        <w:rPr>
          <w:lang w:val="en-GB"/>
        </w:rPr>
        <w:t xml:space="preserve"> </w:t>
      </w:r>
    </w:p>
    <w:p w14:paraId="490C60D9" w14:textId="63DF698C" w:rsidR="00F411D0" w:rsidRDefault="00415FE4">
      <w:pPr>
        <w:rPr>
          <w:lang w:val="en-GB"/>
        </w:rPr>
      </w:pPr>
      <w:r>
        <w:rPr>
          <w:lang w:val="en-GB"/>
        </w:rPr>
        <w:t xml:space="preserve">The first DDI Scientific Plan covers a 2-year period, January 2021 through December 2022. The initial 2-year plan reflects the fact that the Scientific Board only became fully operational in spring of 2021. The Scientific Plan for this initial planning period focuses on the need for the board to establish </w:t>
      </w:r>
      <w:r w:rsidR="0030333C">
        <w:rPr>
          <w:lang w:val="en-GB"/>
        </w:rPr>
        <w:t>its</w:t>
      </w:r>
      <w:r>
        <w:rPr>
          <w:lang w:val="en-GB"/>
        </w:rPr>
        <w:t xml:space="preserve"> internal process as well as provide oversight to the on-going scientific work of the DDI Alliance. This will include clarifying </w:t>
      </w:r>
      <w:r w:rsidR="008A371D">
        <w:rPr>
          <w:lang w:val="en-GB"/>
        </w:rPr>
        <w:t>relationships</w:t>
      </w:r>
      <w:r>
        <w:rPr>
          <w:lang w:val="en-GB"/>
        </w:rPr>
        <w:t xml:space="preserve"> with the Executive Board </w:t>
      </w:r>
      <w:r w:rsidR="00D86A97">
        <w:rPr>
          <w:lang w:val="en-GB"/>
        </w:rPr>
        <w:t xml:space="preserve">and </w:t>
      </w:r>
      <w:r w:rsidR="0030333C">
        <w:rPr>
          <w:lang w:val="en-GB"/>
        </w:rPr>
        <w:t>its</w:t>
      </w:r>
      <w:r w:rsidR="00D86A97">
        <w:rPr>
          <w:lang w:val="en-GB"/>
        </w:rPr>
        <w:t xml:space="preserve"> relationship to the Technical Committee and other Working Groups of the Scientific Board. </w:t>
      </w:r>
    </w:p>
    <w:p w14:paraId="7AEC38AC" w14:textId="53FB68ED" w:rsidR="00F411D0" w:rsidRDefault="00493072">
      <w:pPr>
        <w:rPr>
          <w:lang w:val="en-GB"/>
        </w:rPr>
      </w:pPr>
      <w:r>
        <w:rPr>
          <w:lang w:val="en-GB"/>
        </w:rPr>
        <w:t xml:space="preserve">The Scientific Work Plan is therefore divided into four </w:t>
      </w:r>
      <w:r w:rsidR="00C24228">
        <w:rPr>
          <w:lang w:val="en-GB"/>
        </w:rPr>
        <w:t>sections</w:t>
      </w:r>
    </w:p>
    <w:p w14:paraId="53472880" w14:textId="77777777" w:rsidR="00493072" w:rsidRDefault="00493072" w:rsidP="00493072">
      <w:pPr>
        <w:pStyle w:val="Listenabsatz"/>
        <w:numPr>
          <w:ilvl w:val="0"/>
          <w:numId w:val="5"/>
        </w:numPr>
        <w:rPr>
          <w:lang w:val="en-GB"/>
        </w:rPr>
      </w:pPr>
      <w:r>
        <w:rPr>
          <w:lang w:val="en-GB"/>
        </w:rPr>
        <w:t>Proceedings and Workflow of the new Scientific Board internally and externally</w:t>
      </w:r>
    </w:p>
    <w:p w14:paraId="2B5DB7D0" w14:textId="6EF52183" w:rsidR="00D86A97" w:rsidRPr="00493072" w:rsidRDefault="00D86A97" w:rsidP="00D86A97">
      <w:pPr>
        <w:pStyle w:val="Listenabsatz"/>
        <w:numPr>
          <w:ilvl w:val="0"/>
          <w:numId w:val="5"/>
        </w:numPr>
        <w:rPr>
          <w:lang w:val="en-GB"/>
        </w:rPr>
      </w:pPr>
      <w:r>
        <w:rPr>
          <w:lang w:val="en-GB"/>
        </w:rPr>
        <w:t>Reachable Short</w:t>
      </w:r>
      <w:r w:rsidR="00851B9A">
        <w:rPr>
          <w:lang w:val="en-GB"/>
        </w:rPr>
        <w:t>-</w:t>
      </w:r>
      <w:r>
        <w:rPr>
          <w:lang w:val="en-GB"/>
        </w:rPr>
        <w:t>Term Goals for 2021 and 2022</w:t>
      </w:r>
    </w:p>
    <w:p w14:paraId="51EAA1F7" w14:textId="77777777" w:rsidR="00D86A97" w:rsidRDefault="00D86A97" w:rsidP="00D86A97">
      <w:pPr>
        <w:pStyle w:val="Listenabsatz"/>
        <w:numPr>
          <w:ilvl w:val="0"/>
          <w:numId w:val="5"/>
        </w:numPr>
        <w:rPr>
          <w:lang w:val="en-GB"/>
        </w:rPr>
      </w:pPr>
      <w:r>
        <w:rPr>
          <w:lang w:val="en-GB"/>
        </w:rPr>
        <w:t>Preparations of issues to be covered within the next Scientific Plan for 2023</w:t>
      </w:r>
    </w:p>
    <w:p w14:paraId="6BE9A6D1" w14:textId="77777777" w:rsidR="00493072" w:rsidRDefault="00493072" w:rsidP="00493072">
      <w:pPr>
        <w:pStyle w:val="Listenabsatz"/>
        <w:numPr>
          <w:ilvl w:val="0"/>
          <w:numId w:val="5"/>
        </w:numPr>
        <w:rPr>
          <w:lang w:val="en-GB"/>
        </w:rPr>
      </w:pPr>
      <w:r>
        <w:rPr>
          <w:lang w:val="en-GB"/>
        </w:rPr>
        <w:t>Long Term Vision</w:t>
      </w:r>
      <w:r w:rsidR="00180A2E">
        <w:rPr>
          <w:lang w:val="en-GB"/>
        </w:rPr>
        <w:t xml:space="preserve"> for DDI products and processes</w:t>
      </w:r>
    </w:p>
    <w:p w14:paraId="53A9C1F2" w14:textId="5BDF6B45" w:rsidR="008E626B" w:rsidRDefault="00180A2E">
      <w:pPr>
        <w:rPr>
          <w:lang w:val="en-GB"/>
        </w:rPr>
      </w:pPr>
      <w:r>
        <w:rPr>
          <w:lang w:val="en-GB"/>
        </w:rPr>
        <w:t xml:space="preserve"> </w:t>
      </w:r>
      <w:r w:rsidR="00D86A97">
        <w:rPr>
          <w:lang w:val="en-GB"/>
        </w:rPr>
        <w:t xml:space="preserve">Sections </w:t>
      </w:r>
      <w:r>
        <w:rPr>
          <w:lang w:val="en-GB"/>
        </w:rPr>
        <w:t>I and I</w:t>
      </w:r>
      <w:r w:rsidR="00D86A97">
        <w:rPr>
          <w:lang w:val="en-GB"/>
        </w:rPr>
        <w:t>I</w:t>
      </w:r>
      <w:r>
        <w:rPr>
          <w:lang w:val="en-GB"/>
        </w:rPr>
        <w:t xml:space="preserve"> </w:t>
      </w:r>
      <w:r w:rsidR="00D86A97">
        <w:rPr>
          <w:lang w:val="en-GB"/>
        </w:rPr>
        <w:t>are</w:t>
      </w:r>
      <w:r>
        <w:rPr>
          <w:lang w:val="en-GB"/>
        </w:rPr>
        <w:t xml:space="preserve"> the actual work plan for 2021 and 2022 as they contain measureable goals which should be reachable within this timeframe. </w:t>
      </w:r>
      <w:r w:rsidR="00D86A97">
        <w:rPr>
          <w:lang w:val="en-GB"/>
        </w:rPr>
        <w:t>Section</w:t>
      </w:r>
      <w:r>
        <w:rPr>
          <w:lang w:val="en-GB"/>
        </w:rPr>
        <w:t xml:space="preserve"> III contains goals we consider to be viable for the next Scientific Plan </w:t>
      </w:r>
      <w:r w:rsidR="00D86A97">
        <w:rPr>
          <w:lang w:val="en-GB"/>
        </w:rPr>
        <w:t>beginning in</w:t>
      </w:r>
      <w:r>
        <w:rPr>
          <w:lang w:val="en-GB"/>
        </w:rPr>
        <w:t xml:space="preserve"> 2023. </w:t>
      </w:r>
      <w:r w:rsidR="00D86A97">
        <w:rPr>
          <w:lang w:val="en-GB"/>
        </w:rPr>
        <w:t>The intent of this section is to identify areas for preparation and planning for future work. Section</w:t>
      </w:r>
      <w:r>
        <w:rPr>
          <w:lang w:val="en-GB"/>
        </w:rPr>
        <w:t xml:space="preserve"> I</w:t>
      </w:r>
      <w:r w:rsidR="00D86A97">
        <w:rPr>
          <w:lang w:val="en-GB"/>
        </w:rPr>
        <w:t>V</w:t>
      </w:r>
      <w:r>
        <w:rPr>
          <w:lang w:val="en-GB"/>
        </w:rPr>
        <w:t xml:space="preserve"> contains long term visions for DDI products which can be reached in timeframes of three to five years. The current Scientific Board will not be able to initiate those processes</w:t>
      </w:r>
      <w:r w:rsidR="00D86A97">
        <w:rPr>
          <w:lang w:val="en-GB"/>
        </w:rPr>
        <w:t xml:space="preserve"> in the near term, but provide this information to provide context for current activities and clarify longer term goals.</w:t>
      </w:r>
    </w:p>
    <w:p w14:paraId="32823D14" w14:textId="08A1711F" w:rsidR="00180A2E" w:rsidRDefault="00180A2E">
      <w:pPr>
        <w:rPr>
          <w:lang w:val="en-GB"/>
        </w:rPr>
      </w:pPr>
      <w:r>
        <w:rPr>
          <w:lang w:val="en-GB"/>
        </w:rPr>
        <w:t xml:space="preserve">This iteration of the Scientific Work Plan </w:t>
      </w:r>
      <w:r w:rsidR="00760024">
        <w:rPr>
          <w:lang w:val="en-GB"/>
        </w:rPr>
        <w:t xml:space="preserve">incorporates large parts of the DDI Alliance Strategic Plan </w:t>
      </w:r>
      <w:r w:rsidR="00D86A97">
        <w:rPr>
          <w:lang w:val="en-GB"/>
        </w:rPr>
        <w:t>as it</w:t>
      </w:r>
      <w:r w:rsidR="00760024">
        <w:rPr>
          <w:lang w:val="en-GB"/>
        </w:rPr>
        <w:t xml:space="preserve"> exist</w:t>
      </w:r>
      <w:r w:rsidR="00D86A97">
        <w:rPr>
          <w:lang w:val="en-GB"/>
        </w:rPr>
        <w:t>ed</w:t>
      </w:r>
      <w:r w:rsidR="00760024">
        <w:rPr>
          <w:lang w:val="en-GB"/>
        </w:rPr>
        <w:t xml:space="preserve"> at the time </w:t>
      </w:r>
      <w:r w:rsidR="00D86A97">
        <w:rPr>
          <w:lang w:val="en-GB"/>
        </w:rPr>
        <w:t>this document was</w:t>
      </w:r>
      <w:r w:rsidR="008A371D">
        <w:rPr>
          <w:lang w:val="en-GB"/>
        </w:rPr>
        <w:t xml:space="preserve"> </w:t>
      </w:r>
      <w:r w:rsidR="00760024">
        <w:rPr>
          <w:lang w:val="en-GB"/>
        </w:rPr>
        <w:t>creat</w:t>
      </w:r>
      <w:r w:rsidR="008A371D">
        <w:rPr>
          <w:lang w:val="en-GB"/>
        </w:rPr>
        <w:t>ed</w:t>
      </w:r>
      <w:r w:rsidR="00760024">
        <w:rPr>
          <w:lang w:val="en-GB"/>
        </w:rPr>
        <w:t xml:space="preserve">. The Scientific Board accepted </w:t>
      </w:r>
      <w:r w:rsidR="00851B9A">
        <w:rPr>
          <w:lang w:val="en-GB"/>
        </w:rPr>
        <w:t xml:space="preserve">the Strategic Plan in its general outline. The internal planning discussions of the Scientific Board as well as the work plans submitted by the different Working Groups fit within the Strategic Plan. In the future, the scientific section of the </w:t>
      </w:r>
      <w:r w:rsidR="008A371D">
        <w:rPr>
          <w:lang w:val="en-GB"/>
        </w:rPr>
        <w:t>Strategic</w:t>
      </w:r>
      <w:r w:rsidR="00851B9A">
        <w:rPr>
          <w:lang w:val="en-GB"/>
        </w:rPr>
        <w:t xml:space="preserve"> Plan should arise out of the long term goals of the Scientific Pl</w:t>
      </w:r>
      <w:r w:rsidR="009147F8">
        <w:rPr>
          <w:lang w:val="en-GB"/>
        </w:rPr>
        <w:t>an as reviewed</w:t>
      </w:r>
      <w:r w:rsidR="00851B9A">
        <w:rPr>
          <w:lang w:val="en-GB"/>
        </w:rPr>
        <w:t xml:space="preserve"> by the Scientific Representatives</w:t>
      </w:r>
      <w:r w:rsidR="009147F8">
        <w:rPr>
          <w:lang w:val="en-GB"/>
        </w:rPr>
        <w:t xml:space="preserve"> and approved by the membership of</w:t>
      </w:r>
      <w:r w:rsidR="00851B9A">
        <w:rPr>
          <w:lang w:val="en-GB"/>
        </w:rPr>
        <w:t xml:space="preserve"> the DDI Alliance. </w:t>
      </w:r>
    </w:p>
    <w:p w14:paraId="496DEBC7" w14:textId="77777777" w:rsidR="00760024" w:rsidRDefault="00760024">
      <w:pPr>
        <w:rPr>
          <w:lang w:val="en-GB"/>
        </w:rPr>
      </w:pPr>
    </w:p>
    <w:p w14:paraId="18FAFE06" w14:textId="77777777" w:rsidR="00BA1D06" w:rsidRPr="0030333C" w:rsidRDefault="000C0965" w:rsidP="000C0965">
      <w:pPr>
        <w:pStyle w:val="Listenabsatz"/>
        <w:numPr>
          <w:ilvl w:val="0"/>
          <w:numId w:val="4"/>
        </w:numPr>
        <w:rPr>
          <w:b/>
          <w:bCs/>
          <w:lang w:val="en-GB"/>
        </w:rPr>
      </w:pPr>
      <w:r w:rsidRPr="0030333C">
        <w:rPr>
          <w:b/>
          <w:bCs/>
          <w:lang w:val="en-GB"/>
        </w:rPr>
        <w:t>Proceedings and Workflow of the new Scientific Board internally and externally</w:t>
      </w:r>
    </w:p>
    <w:p w14:paraId="6FEFDFA7" w14:textId="77777777" w:rsidR="000C0965" w:rsidRDefault="000C0965" w:rsidP="000C0965">
      <w:pPr>
        <w:rPr>
          <w:lang w:val="en-GB"/>
        </w:rPr>
      </w:pPr>
    </w:p>
    <w:p w14:paraId="606401B4" w14:textId="1896D79B" w:rsidR="000C0965" w:rsidRDefault="000C0965" w:rsidP="000C0965">
      <w:pPr>
        <w:rPr>
          <w:lang w:val="en-GB"/>
        </w:rPr>
      </w:pPr>
      <w:r>
        <w:rPr>
          <w:lang w:val="en-GB"/>
        </w:rPr>
        <w:t xml:space="preserve">As </w:t>
      </w:r>
      <w:r w:rsidR="008A371D">
        <w:rPr>
          <w:lang w:val="en-GB"/>
        </w:rPr>
        <w:t>stated,</w:t>
      </w:r>
      <w:r>
        <w:rPr>
          <w:lang w:val="en-GB"/>
        </w:rPr>
        <w:t xml:space="preserve"> the Scientific Board is a new entity </w:t>
      </w:r>
      <w:r w:rsidR="00C24228">
        <w:rPr>
          <w:lang w:val="en-GB"/>
        </w:rPr>
        <w:t>for</w:t>
      </w:r>
      <w:r>
        <w:rPr>
          <w:lang w:val="en-GB"/>
        </w:rPr>
        <w:t xml:space="preserve"> which the new roles and responsibilities have to be clarified. </w:t>
      </w:r>
      <w:r w:rsidR="00C24228">
        <w:rPr>
          <w:lang w:val="en-GB"/>
        </w:rPr>
        <w:t xml:space="preserve">The focus of this first year will be </w:t>
      </w:r>
      <w:r>
        <w:rPr>
          <w:lang w:val="en-GB"/>
        </w:rPr>
        <w:t>to clarify the internal roles</w:t>
      </w:r>
      <w:r w:rsidR="00C24228">
        <w:rPr>
          <w:lang w:val="en-GB"/>
        </w:rPr>
        <w:t>, processes, and operating rules,</w:t>
      </w:r>
      <w:r>
        <w:rPr>
          <w:lang w:val="en-GB"/>
        </w:rPr>
        <w:t xml:space="preserve"> as well as </w:t>
      </w:r>
      <w:r w:rsidR="00C24228">
        <w:rPr>
          <w:lang w:val="en-GB"/>
        </w:rPr>
        <w:t>establishing relations with other existing groups</w:t>
      </w:r>
      <w:r>
        <w:rPr>
          <w:lang w:val="en-GB"/>
        </w:rPr>
        <w:t xml:space="preserve">. These </w:t>
      </w:r>
      <w:r w:rsidR="00C24228">
        <w:rPr>
          <w:lang w:val="en-GB"/>
        </w:rPr>
        <w:t>will be specified in a procedures</w:t>
      </w:r>
      <w:r>
        <w:rPr>
          <w:lang w:val="en-GB"/>
        </w:rPr>
        <w:t xml:space="preserve"> </w:t>
      </w:r>
      <w:r>
        <w:rPr>
          <w:lang w:val="en-GB"/>
        </w:rPr>
        <w:lastRenderedPageBreak/>
        <w:t>document which can be</w:t>
      </w:r>
      <w:r w:rsidR="00C24228">
        <w:rPr>
          <w:lang w:val="en-GB"/>
        </w:rPr>
        <w:t xml:space="preserve"> modified periodically to meet changes in the operating environment. This document will serve as a set of clear guidelines for the operations of the Scientific Board.</w:t>
      </w:r>
    </w:p>
    <w:p w14:paraId="6455AED0" w14:textId="7201B386" w:rsidR="009252E0" w:rsidRPr="000C0965" w:rsidRDefault="000C0965" w:rsidP="000C0965">
      <w:pPr>
        <w:rPr>
          <w:lang w:val="en-GB"/>
        </w:rPr>
      </w:pPr>
      <w:r>
        <w:rPr>
          <w:lang w:val="en-GB"/>
        </w:rPr>
        <w:t>Therefore</w:t>
      </w:r>
      <w:r w:rsidR="009252E0">
        <w:rPr>
          <w:lang w:val="en-GB"/>
        </w:rPr>
        <w:t>,</w:t>
      </w:r>
      <w:r>
        <w:rPr>
          <w:lang w:val="en-GB"/>
        </w:rPr>
        <w:t xml:space="preserve"> the Scientific Board will have to clarify the following issues:</w:t>
      </w:r>
    </w:p>
    <w:p w14:paraId="64C3FAD1" w14:textId="77777777" w:rsidR="009252E0" w:rsidRDefault="009252E0" w:rsidP="0030333C">
      <w:pPr>
        <w:pStyle w:val="Listenabsatz"/>
        <w:numPr>
          <w:ilvl w:val="0"/>
          <w:numId w:val="16"/>
        </w:numPr>
        <w:rPr>
          <w:lang w:val="en-GB"/>
        </w:rPr>
      </w:pPr>
      <w:r w:rsidRPr="008A371D">
        <w:rPr>
          <w:lang w:val="en-GB"/>
        </w:rPr>
        <w:t>I</w:t>
      </w:r>
      <w:r w:rsidRPr="00194101">
        <w:rPr>
          <w:lang w:val="en-GB"/>
        </w:rPr>
        <w:t>nternal proceedings and operational guidelines, e.g.</w:t>
      </w:r>
    </w:p>
    <w:p w14:paraId="7BB01808" w14:textId="77777777" w:rsidR="009252E0" w:rsidRDefault="009252E0" w:rsidP="0030333C">
      <w:pPr>
        <w:pStyle w:val="Listenabsatz"/>
        <w:numPr>
          <w:ilvl w:val="1"/>
          <w:numId w:val="16"/>
        </w:numPr>
        <w:rPr>
          <w:lang w:val="en-GB"/>
        </w:rPr>
      </w:pPr>
      <w:r w:rsidRPr="009313DE">
        <w:rPr>
          <w:lang w:val="en-GB"/>
        </w:rPr>
        <w:t>Number and timeline of physical and virtual meetings of the Scientific Board</w:t>
      </w:r>
    </w:p>
    <w:p w14:paraId="7C0EE251" w14:textId="518EAD06" w:rsidR="00BA1D06" w:rsidRPr="009313DE" w:rsidRDefault="00C24228" w:rsidP="0030333C">
      <w:pPr>
        <w:pStyle w:val="Listenabsatz"/>
        <w:numPr>
          <w:ilvl w:val="1"/>
          <w:numId w:val="16"/>
        </w:numPr>
        <w:rPr>
          <w:lang w:val="en-GB"/>
        </w:rPr>
      </w:pPr>
      <w:r w:rsidRPr="009313DE">
        <w:rPr>
          <w:lang w:val="en-GB"/>
        </w:rPr>
        <w:t>Engagement of</w:t>
      </w:r>
      <w:r w:rsidR="00BA1D06" w:rsidRPr="009313DE">
        <w:rPr>
          <w:lang w:val="en-GB"/>
        </w:rPr>
        <w:t xml:space="preserve"> the Scientific Community</w:t>
      </w:r>
    </w:p>
    <w:p w14:paraId="620D4425" w14:textId="69909A1A" w:rsidR="00BA1D06" w:rsidRPr="009313DE" w:rsidRDefault="008A371D" w:rsidP="0030333C">
      <w:pPr>
        <w:pStyle w:val="Listenabsatz"/>
        <w:numPr>
          <w:ilvl w:val="1"/>
          <w:numId w:val="16"/>
        </w:numPr>
        <w:rPr>
          <w:lang w:val="en-GB"/>
        </w:rPr>
      </w:pPr>
      <w:r w:rsidRPr="009313DE">
        <w:rPr>
          <w:lang w:val="en-GB"/>
        </w:rPr>
        <w:t>V</w:t>
      </w:r>
      <w:r w:rsidR="00BA1D06" w:rsidRPr="009313DE">
        <w:rPr>
          <w:lang w:val="en-GB"/>
        </w:rPr>
        <w:t>oting</w:t>
      </w:r>
      <w:r w:rsidRPr="009313DE">
        <w:rPr>
          <w:lang w:val="en-GB"/>
        </w:rPr>
        <w:t xml:space="preserve"> procedure</w:t>
      </w:r>
      <w:r w:rsidR="00BA1D06" w:rsidRPr="009313DE">
        <w:rPr>
          <w:lang w:val="en-GB"/>
        </w:rPr>
        <w:t xml:space="preserve"> for Chair and Vice-Chair</w:t>
      </w:r>
    </w:p>
    <w:p w14:paraId="5B83BD98" w14:textId="7C0BF247" w:rsidR="009252E0" w:rsidRPr="009313DE" w:rsidRDefault="008A371D" w:rsidP="0030333C">
      <w:pPr>
        <w:pStyle w:val="Listenabsatz"/>
        <w:numPr>
          <w:ilvl w:val="1"/>
          <w:numId w:val="16"/>
        </w:numPr>
        <w:rPr>
          <w:lang w:val="en-GB"/>
        </w:rPr>
      </w:pPr>
      <w:r w:rsidRPr="009313DE">
        <w:rPr>
          <w:lang w:val="en-GB"/>
        </w:rPr>
        <w:t>V</w:t>
      </w:r>
      <w:r w:rsidR="00BA1D06" w:rsidRPr="009313DE">
        <w:rPr>
          <w:lang w:val="en-GB"/>
        </w:rPr>
        <w:t xml:space="preserve">oting </w:t>
      </w:r>
      <w:r w:rsidRPr="009313DE">
        <w:rPr>
          <w:lang w:val="en-GB"/>
        </w:rPr>
        <w:t xml:space="preserve">procedures </w:t>
      </w:r>
      <w:r w:rsidR="00BA1D06" w:rsidRPr="009313DE">
        <w:rPr>
          <w:lang w:val="en-GB"/>
        </w:rPr>
        <w:t>on decisions</w:t>
      </w:r>
      <w:r w:rsidR="00E40FFF" w:rsidRPr="009313DE">
        <w:rPr>
          <w:lang w:val="en-GB"/>
        </w:rPr>
        <w:t xml:space="preserve"> (e.g. possibility of remote votes between meetings)</w:t>
      </w:r>
    </w:p>
    <w:p w14:paraId="32CC8984" w14:textId="2A8BA9AA" w:rsidR="00BA1D06" w:rsidRPr="009313DE" w:rsidRDefault="004746DC" w:rsidP="0030333C">
      <w:pPr>
        <w:pStyle w:val="Listenabsatz"/>
        <w:numPr>
          <w:ilvl w:val="0"/>
          <w:numId w:val="16"/>
        </w:numPr>
        <w:rPr>
          <w:lang w:val="en-GB"/>
        </w:rPr>
      </w:pPr>
      <w:r w:rsidRPr="009313DE">
        <w:rPr>
          <w:lang w:val="en-GB"/>
        </w:rPr>
        <w:t>Collaboration of Scientific Board</w:t>
      </w:r>
      <w:r w:rsidR="00BA1D06" w:rsidRPr="009313DE">
        <w:rPr>
          <w:lang w:val="en-GB"/>
        </w:rPr>
        <w:t xml:space="preserve"> members between the meetings</w:t>
      </w:r>
    </w:p>
    <w:p w14:paraId="6BC44D2A" w14:textId="2C91C296" w:rsidR="00BA1D06" w:rsidRPr="009313DE" w:rsidRDefault="008A371D" w:rsidP="0030333C">
      <w:pPr>
        <w:pStyle w:val="Listenabsatz"/>
        <w:numPr>
          <w:ilvl w:val="0"/>
          <w:numId w:val="16"/>
        </w:numPr>
        <w:rPr>
          <w:lang w:val="en-GB"/>
        </w:rPr>
      </w:pPr>
      <w:r w:rsidRPr="009313DE">
        <w:rPr>
          <w:lang w:val="en-GB"/>
        </w:rPr>
        <w:t>W</w:t>
      </w:r>
      <w:r w:rsidR="00C24228" w:rsidRPr="009313DE">
        <w:rPr>
          <w:lang w:val="en-GB"/>
        </w:rPr>
        <w:t xml:space="preserve">orking relationships </w:t>
      </w:r>
      <w:r w:rsidRPr="009313DE">
        <w:rPr>
          <w:lang w:val="en-GB"/>
        </w:rPr>
        <w:t>between and among the Scientific Board, Techn</w:t>
      </w:r>
      <w:r w:rsidR="009252E0" w:rsidRPr="009313DE">
        <w:rPr>
          <w:lang w:val="en-GB"/>
        </w:rPr>
        <w:t>ic</w:t>
      </w:r>
      <w:r w:rsidRPr="009313DE">
        <w:rPr>
          <w:lang w:val="en-GB"/>
        </w:rPr>
        <w:t>al Committee and</w:t>
      </w:r>
      <w:r w:rsidR="00BA1D06" w:rsidRPr="009313DE">
        <w:rPr>
          <w:lang w:val="en-GB"/>
        </w:rPr>
        <w:t xml:space="preserve"> all </w:t>
      </w:r>
      <w:r w:rsidRPr="009313DE">
        <w:rPr>
          <w:lang w:val="en-GB"/>
        </w:rPr>
        <w:t>W</w:t>
      </w:r>
      <w:r w:rsidR="00BA1D06" w:rsidRPr="009313DE">
        <w:rPr>
          <w:lang w:val="en-GB"/>
        </w:rPr>
        <w:t xml:space="preserve">orking </w:t>
      </w:r>
      <w:r w:rsidRPr="009313DE">
        <w:rPr>
          <w:lang w:val="en-GB"/>
        </w:rPr>
        <w:t>G</w:t>
      </w:r>
      <w:r w:rsidR="00BA1D06" w:rsidRPr="009313DE">
        <w:rPr>
          <w:lang w:val="en-GB"/>
        </w:rPr>
        <w:t>roups</w:t>
      </w:r>
    </w:p>
    <w:p w14:paraId="64D137A5" w14:textId="6EE2D0A7" w:rsidR="00BA1D06" w:rsidRPr="009313DE" w:rsidRDefault="008A371D" w:rsidP="0030333C">
      <w:pPr>
        <w:pStyle w:val="Listenabsatz"/>
        <w:numPr>
          <w:ilvl w:val="0"/>
          <w:numId w:val="16"/>
        </w:numPr>
        <w:rPr>
          <w:lang w:val="en-GB"/>
        </w:rPr>
      </w:pPr>
      <w:r w:rsidRPr="009313DE">
        <w:rPr>
          <w:lang w:val="en-GB"/>
        </w:rPr>
        <w:t>W</w:t>
      </w:r>
      <w:r w:rsidR="00BA1D06" w:rsidRPr="009313DE">
        <w:rPr>
          <w:lang w:val="en-GB"/>
        </w:rPr>
        <w:t>orking relationship with the Executive Board</w:t>
      </w:r>
    </w:p>
    <w:p w14:paraId="4950AAA7" w14:textId="23EB5AB5" w:rsidR="000A3584" w:rsidRDefault="00BA1D06" w:rsidP="0030333C">
      <w:pPr>
        <w:pStyle w:val="Listenabsatz"/>
        <w:numPr>
          <w:ilvl w:val="0"/>
          <w:numId w:val="16"/>
        </w:numPr>
        <w:rPr>
          <w:lang w:val="en-GB"/>
        </w:rPr>
      </w:pPr>
      <w:r w:rsidRPr="009313DE">
        <w:rPr>
          <w:lang w:val="en-GB"/>
        </w:rPr>
        <w:t xml:space="preserve">The </w:t>
      </w:r>
      <w:r w:rsidR="008A371D" w:rsidRPr="009313DE">
        <w:rPr>
          <w:lang w:val="en-GB"/>
        </w:rPr>
        <w:t>establishment and promotion</w:t>
      </w:r>
      <w:r w:rsidRPr="009313DE">
        <w:rPr>
          <w:lang w:val="en-GB"/>
        </w:rPr>
        <w:t xml:space="preserve"> of new  working groups</w:t>
      </w:r>
      <w:r w:rsidR="000A3584" w:rsidRPr="009313DE">
        <w:rPr>
          <w:lang w:val="en-GB"/>
        </w:rPr>
        <w:t xml:space="preserve"> </w:t>
      </w:r>
      <w:r w:rsidR="008A371D" w:rsidRPr="009313DE">
        <w:rPr>
          <w:lang w:val="en-GB"/>
        </w:rPr>
        <w:t>(short and long-term groups) to accomplish the work of the Scientific Plan</w:t>
      </w:r>
    </w:p>
    <w:p w14:paraId="4059C470" w14:textId="77777777" w:rsidR="009147F8" w:rsidRDefault="009147F8" w:rsidP="009147F8">
      <w:pPr>
        <w:rPr>
          <w:lang w:val="en-GB"/>
        </w:rPr>
      </w:pPr>
    </w:p>
    <w:p w14:paraId="191ED9E4" w14:textId="77777777" w:rsidR="009147F8" w:rsidRPr="009147F8" w:rsidRDefault="009147F8" w:rsidP="009147F8">
      <w:pPr>
        <w:pStyle w:val="Listenabsatz"/>
        <w:numPr>
          <w:ilvl w:val="0"/>
          <w:numId w:val="4"/>
        </w:numPr>
        <w:rPr>
          <w:b/>
          <w:lang w:val="en-GB"/>
        </w:rPr>
      </w:pPr>
      <w:r w:rsidRPr="009147F8">
        <w:rPr>
          <w:b/>
          <w:lang w:val="en-GB"/>
        </w:rPr>
        <w:t>Reachable Short Term Goals for 2021 and 2022</w:t>
      </w:r>
    </w:p>
    <w:p w14:paraId="4F99D0AD" w14:textId="77777777" w:rsidR="009147F8" w:rsidRPr="009147F8" w:rsidRDefault="009147F8" w:rsidP="009147F8">
      <w:pPr>
        <w:pStyle w:val="Listenabsatz"/>
        <w:ind w:left="1080"/>
        <w:rPr>
          <w:b/>
          <w:lang w:val="en-GB"/>
        </w:rPr>
      </w:pPr>
    </w:p>
    <w:p w14:paraId="5AE75650" w14:textId="77777777" w:rsidR="009147F8" w:rsidRDefault="009147F8" w:rsidP="009147F8">
      <w:pPr>
        <w:rPr>
          <w:lang w:val="en-GB"/>
        </w:rPr>
      </w:pPr>
      <w:r>
        <w:rPr>
          <w:lang w:val="en-GB"/>
        </w:rPr>
        <w:t xml:space="preserve">These action items are issues we evaluated to be short term enough to be covered within the next 1.5 years. </w:t>
      </w:r>
    </w:p>
    <w:p w14:paraId="50AC5900" w14:textId="77777777" w:rsidR="004F2EEA" w:rsidRDefault="009147F8" w:rsidP="005B3852">
      <w:pPr>
        <w:pStyle w:val="Listenabsatz"/>
        <w:numPr>
          <w:ilvl w:val="0"/>
          <w:numId w:val="7"/>
        </w:numPr>
        <w:rPr>
          <w:lang w:val="en-GB"/>
        </w:rPr>
      </w:pPr>
      <w:r w:rsidRPr="004F2EEA">
        <w:rPr>
          <w:lang w:val="en-GB"/>
        </w:rPr>
        <w:t>Define a first draft of a roadmap for portabi</w:t>
      </w:r>
      <w:r w:rsidR="004F2EEA" w:rsidRPr="004F2EEA">
        <w:rPr>
          <w:lang w:val="en-GB"/>
        </w:rPr>
        <w:t xml:space="preserve">lity between versions. </w:t>
      </w:r>
      <w:r w:rsidR="004F2EEA">
        <w:rPr>
          <w:lang w:val="en-GB"/>
        </w:rPr>
        <w:t>This action item has to be further developed as a medium and long term goal.</w:t>
      </w:r>
    </w:p>
    <w:p w14:paraId="76677B9B" w14:textId="7EDF27A4" w:rsidR="009147F8" w:rsidRPr="004F2EEA" w:rsidRDefault="009147F8" w:rsidP="005B3852">
      <w:pPr>
        <w:pStyle w:val="Listenabsatz"/>
        <w:numPr>
          <w:ilvl w:val="0"/>
          <w:numId w:val="7"/>
        </w:numPr>
        <w:rPr>
          <w:lang w:val="en-GB"/>
        </w:rPr>
      </w:pPr>
      <w:r w:rsidRPr="004F2EEA">
        <w:rPr>
          <w:lang w:val="en-GB"/>
        </w:rPr>
        <w:t>Promote more collaboration between the Working Groups, e.g. to achieve better documentation.</w:t>
      </w:r>
      <w:r w:rsidR="004F2EEA" w:rsidRPr="004F2EEA">
        <w:rPr>
          <w:lang w:val="en-GB"/>
        </w:rPr>
        <w:t xml:space="preserve"> This action item has to be further developed as a medium and long term goal.</w:t>
      </w:r>
    </w:p>
    <w:p w14:paraId="7267D916" w14:textId="24B665DA" w:rsidR="00C155C5" w:rsidRDefault="00C155C5" w:rsidP="00C155C5">
      <w:pPr>
        <w:pStyle w:val="Listenabsatz"/>
        <w:numPr>
          <w:ilvl w:val="0"/>
          <w:numId w:val="7"/>
        </w:numPr>
        <w:rPr>
          <w:lang w:val="en-GB"/>
        </w:rPr>
      </w:pPr>
      <w:r>
        <w:rPr>
          <w:lang w:val="en-GB"/>
        </w:rPr>
        <w:t>Plan</w:t>
      </w:r>
      <w:r w:rsidRPr="00C155C5">
        <w:rPr>
          <w:lang w:val="en-GB"/>
        </w:rPr>
        <w:t xml:space="preserve"> a</w:t>
      </w:r>
      <w:r>
        <w:rPr>
          <w:lang w:val="en-GB"/>
        </w:rPr>
        <w:t xml:space="preserve"> new</w:t>
      </w:r>
      <w:r w:rsidRPr="00C155C5">
        <w:rPr>
          <w:lang w:val="en-GB"/>
        </w:rPr>
        <w:t xml:space="preserve"> laboratory environment</w:t>
      </w:r>
      <w:r>
        <w:rPr>
          <w:lang w:val="en-GB"/>
        </w:rPr>
        <w:t xml:space="preserve"> </w:t>
      </w:r>
      <w:r w:rsidRPr="00C155C5">
        <w:rPr>
          <w:lang w:val="en-GB"/>
        </w:rPr>
        <w:t>to explore new features and technical platforms</w:t>
      </w:r>
      <w:r>
        <w:rPr>
          <w:lang w:val="en-GB"/>
        </w:rPr>
        <w:t>.</w:t>
      </w:r>
    </w:p>
    <w:p w14:paraId="77EEAF9D" w14:textId="11EB16A7" w:rsidR="009147F8" w:rsidRDefault="00C155C5" w:rsidP="00C155C5">
      <w:pPr>
        <w:pStyle w:val="Listenabsatz"/>
        <w:numPr>
          <w:ilvl w:val="0"/>
          <w:numId w:val="7"/>
        </w:numPr>
        <w:rPr>
          <w:lang w:val="en-GB"/>
        </w:rPr>
      </w:pPr>
      <w:r>
        <w:rPr>
          <w:lang w:val="en-GB"/>
        </w:rPr>
        <w:t>Plan the creation of</w:t>
      </w:r>
      <w:r w:rsidR="009147F8">
        <w:rPr>
          <w:lang w:val="en-GB"/>
        </w:rPr>
        <w:t xml:space="preserve"> a</w:t>
      </w:r>
      <w:r>
        <w:rPr>
          <w:lang w:val="en-GB"/>
        </w:rPr>
        <w:t xml:space="preserve"> new</w:t>
      </w:r>
      <w:r w:rsidR="009147F8">
        <w:rPr>
          <w:lang w:val="en-GB"/>
        </w:rPr>
        <w:t xml:space="preserve"> software development group similar to the DDI Developers group in the past to promote DDI Tool development. </w:t>
      </w:r>
    </w:p>
    <w:p w14:paraId="1AD4075C" w14:textId="77777777" w:rsidR="009147F8" w:rsidRDefault="009147F8" w:rsidP="009147F8">
      <w:pPr>
        <w:pStyle w:val="Listenabsatz"/>
        <w:numPr>
          <w:ilvl w:val="0"/>
          <w:numId w:val="7"/>
        </w:numPr>
        <w:rPr>
          <w:lang w:val="en-GB"/>
        </w:rPr>
      </w:pPr>
      <w:r>
        <w:rPr>
          <w:lang w:val="en-GB"/>
        </w:rPr>
        <w:t xml:space="preserve">Provide guidance for the community </w:t>
      </w:r>
      <w:r w:rsidRPr="00107A39">
        <w:rPr>
          <w:lang w:val="en-GB"/>
        </w:rPr>
        <w:t>on which DDI specification and which parts of DDI</w:t>
      </w:r>
      <w:r>
        <w:rPr>
          <w:lang w:val="en-GB"/>
        </w:rPr>
        <w:t xml:space="preserve"> are the preferred solution</w:t>
      </w:r>
      <w:r w:rsidRPr="00107A39">
        <w:rPr>
          <w:lang w:val="en-GB"/>
        </w:rPr>
        <w:t xml:space="preserve"> for specific use cases</w:t>
      </w:r>
      <w:r>
        <w:rPr>
          <w:lang w:val="en-GB"/>
        </w:rPr>
        <w:t>.</w:t>
      </w:r>
    </w:p>
    <w:p w14:paraId="532B087F" w14:textId="77777777" w:rsidR="009147F8" w:rsidRDefault="009147F8" w:rsidP="009147F8">
      <w:pPr>
        <w:pStyle w:val="Listenabsatz"/>
        <w:numPr>
          <w:ilvl w:val="0"/>
          <w:numId w:val="7"/>
        </w:numPr>
        <w:rPr>
          <w:lang w:val="en-GB"/>
        </w:rPr>
      </w:pPr>
      <w:r>
        <w:rPr>
          <w:lang w:val="en-GB"/>
        </w:rPr>
        <w:t>Promote the development of t</w:t>
      </w:r>
      <w:r w:rsidRPr="00107A39">
        <w:rPr>
          <w:lang w:val="en-GB"/>
        </w:rPr>
        <w:t>echnical DDI services, especially resolution of DDI URNs to the physical location of DDI resources (identified by URLs)</w:t>
      </w:r>
      <w:r>
        <w:rPr>
          <w:lang w:val="en-GB"/>
        </w:rPr>
        <w:t>.</w:t>
      </w:r>
    </w:p>
    <w:p w14:paraId="36532F02" w14:textId="3F00E835" w:rsidR="009147F8" w:rsidRDefault="009147F8" w:rsidP="009147F8">
      <w:pPr>
        <w:pStyle w:val="Listenabsatz"/>
        <w:numPr>
          <w:ilvl w:val="0"/>
          <w:numId w:val="7"/>
        </w:numPr>
        <w:rPr>
          <w:lang w:val="en-GB"/>
        </w:rPr>
      </w:pPr>
      <w:r>
        <w:rPr>
          <w:lang w:val="en-GB"/>
        </w:rPr>
        <w:t>Promote the role of DDI in external projects like e.g. European Open Science Cloud (EOSC) and FAIR.</w:t>
      </w:r>
    </w:p>
    <w:p w14:paraId="03EDE5EA" w14:textId="40B1BEAD" w:rsidR="00A26E20" w:rsidRDefault="00A26E20" w:rsidP="00A26E20">
      <w:pPr>
        <w:pStyle w:val="Listenabsatz"/>
        <w:numPr>
          <w:ilvl w:val="0"/>
          <w:numId w:val="7"/>
        </w:numPr>
        <w:rPr>
          <w:lang w:val="en-GB"/>
        </w:rPr>
      </w:pPr>
      <w:r>
        <w:rPr>
          <w:lang w:val="en-GB"/>
        </w:rPr>
        <w:t>Explore a base</w:t>
      </w:r>
      <w:r w:rsidRPr="00A26E20">
        <w:rPr>
          <w:lang w:val="en-GB"/>
        </w:rPr>
        <w:t xml:space="preserve"> architecture</w:t>
      </w:r>
      <w:r>
        <w:rPr>
          <w:lang w:val="en-GB"/>
        </w:rPr>
        <w:t xml:space="preserve"> for</w:t>
      </w:r>
      <w:r w:rsidRPr="00D37B87">
        <w:rPr>
          <w:lang w:val="en-GB"/>
        </w:rPr>
        <w:t xml:space="preserve"> existing and growing DDI metadata repositories</w:t>
      </w:r>
      <w:r>
        <w:rPr>
          <w:lang w:val="en-GB"/>
        </w:rPr>
        <w:t>.</w:t>
      </w:r>
    </w:p>
    <w:p w14:paraId="02D0C689" w14:textId="7512DDEE" w:rsidR="00C155C5" w:rsidRDefault="00C155C5" w:rsidP="009147F8">
      <w:pPr>
        <w:pStyle w:val="Listenabsatz"/>
        <w:numPr>
          <w:ilvl w:val="0"/>
          <w:numId w:val="7"/>
        </w:numPr>
        <w:rPr>
          <w:lang w:val="en-GB"/>
        </w:rPr>
      </w:pPr>
      <w:r>
        <w:rPr>
          <w:lang w:val="en-GB"/>
        </w:rPr>
        <w:t>Support and facilitate the following action items provided by the different working groups:</w:t>
      </w:r>
    </w:p>
    <w:p w14:paraId="1E5D1C49" w14:textId="75AF21B4" w:rsidR="00C155C5" w:rsidRPr="00140AD0" w:rsidRDefault="00C155C5" w:rsidP="00C155C5">
      <w:pPr>
        <w:pStyle w:val="Listenabsatz"/>
        <w:numPr>
          <w:ilvl w:val="1"/>
          <w:numId w:val="7"/>
        </w:numPr>
        <w:rPr>
          <w:lang w:val="en-GB"/>
        </w:rPr>
      </w:pPr>
      <w:r>
        <w:rPr>
          <w:lang w:val="en-GB"/>
        </w:rPr>
        <w:t>% Copy and past</w:t>
      </w:r>
      <w:r w:rsidR="00257691">
        <w:rPr>
          <w:lang w:val="en-GB"/>
        </w:rPr>
        <w:t>e</w:t>
      </w:r>
      <w:r>
        <w:rPr>
          <w:lang w:val="en-GB"/>
        </w:rPr>
        <w:t xml:space="preserve"> the ones with highest priorities from the Excel sheets</w:t>
      </w:r>
      <w:r w:rsidR="000C0EC4">
        <w:rPr>
          <w:lang w:val="en-GB"/>
        </w:rPr>
        <w:t>, max. 1-2 action items per working group</w:t>
      </w:r>
      <w:r>
        <w:rPr>
          <w:lang w:val="en-GB"/>
        </w:rPr>
        <w:t xml:space="preserve"> %</w:t>
      </w:r>
    </w:p>
    <w:p w14:paraId="54B72565" w14:textId="77777777" w:rsidR="009147F8" w:rsidRPr="009147F8" w:rsidRDefault="009147F8" w:rsidP="009147F8">
      <w:pPr>
        <w:rPr>
          <w:lang w:val="en-GB"/>
        </w:rPr>
      </w:pPr>
    </w:p>
    <w:p w14:paraId="2CCF6F12" w14:textId="0890CE9E" w:rsidR="009147F8" w:rsidRPr="009313DE" w:rsidRDefault="009147F8" w:rsidP="009147F8">
      <w:pPr>
        <w:pStyle w:val="Listenabsatz"/>
        <w:tabs>
          <w:tab w:val="left" w:pos="1877"/>
        </w:tabs>
        <w:rPr>
          <w:lang w:val="en-GB"/>
        </w:rPr>
      </w:pPr>
      <w:r>
        <w:rPr>
          <w:lang w:val="en-GB"/>
        </w:rPr>
        <w:tab/>
      </w:r>
    </w:p>
    <w:p w14:paraId="752DF379" w14:textId="77777777" w:rsidR="00D9759A" w:rsidRPr="009147F8" w:rsidRDefault="00D9759A" w:rsidP="0030333C">
      <w:pPr>
        <w:pStyle w:val="Listenabsatz"/>
        <w:numPr>
          <w:ilvl w:val="0"/>
          <w:numId w:val="4"/>
        </w:numPr>
        <w:rPr>
          <w:b/>
          <w:lang w:val="en-GB"/>
        </w:rPr>
      </w:pPr>
      <w:r w:rsidRPr="009147F8">
        <w:rPr>
          <w:b/>
          <w:lang w:val="en-GB"/>
        </w:rPr>
        <w:t>Preparations of issues to be covered within the next Scientific Plan for 2023</w:t>
      </w:r>
    </w:p>
    <w:p w14:paraId="7EE26F00" w14:textId="77777777" w:rsidR="008407F3" w:rsidRDefault="008407F3" w:rsidP="008407F3">
      <w:pPr>
        <w:pStyle w:val="Listenabsatz"/>
        <w:ind w:left="1080"/>
        <w:rPr>
          <w:lang w:val="en-GB"/>
        </w:rPr>
      </w:pPr>
    </w:p>
    <w:p w14:paraId="4FC9518E" w14:textId="5DA2DD03" w:rsidR="00D9759A" w:rsidRDefault="00D9759A" w:rsidP="00D9759A">
      <w:pPr>
        <w:rPr>
          <w:lang w:val="en-GB"/>
        </w:rPr>
      </w:pPr>
      <w:r>
        <w:rPr>
          <w:lang w:val="en-GB"/>
        </w:rPr>
        <w:t xml:space="preserve">The following action items are also out of scope for the upcoming </w:t>
      </w:r>
      <w:r w:rsidR="008C7FB1">
        <w:rPr>
          <w:lang w:val="en-GB"/>
        </w:rPr>
        <w:t>work period</w:t>
      </w:r>
      <w:r w:rsidR="009313DE">
        <w:rPr>
          <w:lang w:val="en-GB"/>
        </w:rPr>
        <w:t>. T</w:t>
      </w:r>
      <w:r>
        <w:rPr>
          <w:lang w:val="en-GB"/>
        </w:rPr>
        <w:t>he Scientific Board will discuss</w:t>
      </w:r>
      <w:r w:rsidR="009313DE">
        <w:rPr>
          <w:lang w:val="en-GB"/>
        </w:rPr>
        <w:t xml:space="preserve"> and begin to frame</w:t>
      </w:r>
      <w:r>
        <w:rPr>
          <w:lang w:val="en-GB"/>
        </w:rPr>
        <w:t xml:space="preserve"> these issues </w:t>
      </w:r>
      <w:r w:rsidR="009313DE">
        <w:rPr>
          <w:lang w:val="en-GB"/>
        </w:rPr>
        <w:t>in</w:t>
      </w:r>
      <w:r>
        <w:rPr>
          <w:lang w:val="en-GB"/>
        </w:rPr>
        <w:t xml:space="preserve"> preparation for the next Scientific Plan </w:t>
      </w:r>
      <w:r w:rsidR="009313DE">
        <w:rPr>
          <w:lang w:val="en-GB"/>
        </w:rPr>
        <w:t>beginning in January</w:t>
      </w:r>
      <w:r>
        <w:rPr>
          <w:lang w:val="en-GB"/>
        </w:rPr>
        <w:t xml:space="preserve"> 2023:</w:t>
      </w:r>
    </w:p>
    <w:p w14:paraId="794A867B" w14:textId="7DECCEB5" w:rsidR="00140AD0" w:rsidRDefault="00140AD0" w:rsidP="0030333C">
      <w:pPr>
        <w:pStyle w:val="Listenabsatz"/>
        <w:numPr>
          <w:ilvl w:val="0"/>
          <w:numId w:val="18"/>
        </w:numPr>
        <w:rPr>
          <w:lang w:val="en-GB"/>
        </w:rPr>
      </w:pPr>
      <w:r>
        <w:rPr>
          <w:lang w:val="en-GB"/>
        </w:rPr>
        <w:lastRenderedPageBreak/>
        <w:t>Discuss and advise</w:t>
      </w:r>
      <w:r w:rsidR="00A26E20">
        <w:rPr>
          <w:lang w:val="en-GB"/>
        </w:rPr>
        <w:t xml:space="preserve"> processes</w:t>
      </w:r>
      <w:r>
        <w:rPr>
          <w:lang w:val="en-GB"/>
        </w:rPr>
        <w:t xml:space="preserve"> for product lifecycle management in collaboration with the Technical Committee and other Working Groups.</w:t>
      </w:r>
    </w:p>
    <w:p w14:paraId="3B160AFB" w14:textId="3259C662" w:rsidR="00140AD0" w:rsidRDefault="009313DE" w:rsidP="0030333C">
      <w:pPr>
        <w:pStyle w:val="Listenabsatz"/>
        <w:numPr>
          <w:ilvl w:val="0"/>
          <w:numId w:val="18"/>
        </w:numPr>
        <w:rPr>
          <w:lang w:val="en-GB"/>
        </w:rPr>
      </w:pPr>
      <w:r>
        <w:rPr>
          <w:lang w:val="en-GB"/>
        </w:rPr>
        <w:t>Support</w:t>
      </w:r>
      <w:r w:rsidR="00140AD0">
        <w:rPr>
          <w:lang w:val="en-GB"/>
        </w:rPr>
        <w:t xml:space="preserve"> the further development of i</w:t>
      </w:r>
      <w:r w:rsidR="00107A39" w:rsidRPr="00107A39">
        <w:rPr>
          <w:lang w:val="en-GB"/>
        </w:rPr>
        <w:t xml:space="preserve">mplementation guides to help software architects and developers i.e. </w:t>
      </w:r>
      <w:r>
        <w:rPr>
          <w:lang w:val="en-GB"/>
        </w:rPr>
        <w:t>recommending</w:t>
      </w:r>
      <w:r w:rsidR="00107A39" w:rsidRPr="00107A39">
        <w:rPr>
          <w:lang w:val="en-GB"/>
        </w:rPr>
        <w:t xml:space="preserve"> the appropriate subset of a specification</w:t>
      </w:r>
      <w:r w:rsidR="00107A39">
        <w:rPr>
          <w:lang w:val="en-GB"/>
        </w:rPr>
        <w:t xml:space="preserve">. </w:t>
      </w:r>
      <w:r w:rsidR="00140AD0">
        <w:rPr>
          <w:lang w:val="en-GB"/>
        </w:rPr>
        <w:t>Ideally, implementation guidelines should include code snippets or examples</w:t>
      </w:r>
      <w:r>
        <w:rPr>
          <w:lang w:val="en-GB"/>
        </w:rPr>
        <w:t xml:space="preserve"> and have a consistent presentation across the product line</w:t>
      </w:r>
    </w:p>
    <w:p w14:paraId="57B0010B" w14:textId="77777777" w:rsidR="00140AD0" w:rsidRDefault="00140AD0" w:rsidP="0030333C">
      <w:pPr>
        <w:pStyle w:val="Listenabsatz"/>
        <w:numPr>
          <w:ilvl w:val="0"/>
          <w:numId w:val="18"/>
        </w:numPr>
        <w:rPr>
          <w:lang w:val="en-GB"/>
        </w:rPr>
      </w:pPr>
      <w:r>
        <w:rPr>
          <w:lang w:val="en-GB"/>
        </w:rPr>
        <w:t>D</w:t>
      </w:r>
      <w:r w:rsidRPr="00140AD0">
        <w:rPr>
          <w:lang w:val="en-GB"/>
        </w:rPr>
        <w:t>iscuss and define a policy for testing of specifications and instances</w:t>
      </w:r>
      <w:r>
        <w:rPr>
          <w:lang w:val="en-GB"/>
        </w:rPr>
        <w:t>.</w:t>
      </w:r>
    </w:p>
    <w:p w14:paraId="1624F63D" w14:textId="77777777" w:rsidR="00D37B87" w:rsidRDefault="00D37B87" w:rsidP="0030333C">
      <w:pPr>
        <w:pStyle w:val="Listenabsatz"/>
        <w:numPr>
          <w:ilvl w:val="0"/>
          <w:numId w:val="18"/>
        </w:numPr>
        <w:rPr>
          <w:lang w:val="en-GB"/>
        </w:rPr>
      </w:pPr>
      <w:r>
        <w:rPr>
          <w:lang w:val="en-GB"/>
        </w:rPr>
        <w:t xml:space="preserve">Promote standardized query and </w:t>
      </w:r>
      <w:r w:rsidRPr="00D37B87">
        <w:rPr>
          <w:lang w:val="en-GB"/>
        </w:rPr>
        <w:t>exchange protocol</w:t>
      </w:r>
      <w:r>
        <w:rPr>
          <w:lang w:val="en-GB"/>
        </w:rPr>
        <w:t>s which enable</w:t>
      </w:r>
      <w:r w:rsidRPr="00D37B87">
        <w:rPr>
          <w:lang w:val="en-GB"/>
        </w:rPr>
        <w:t xml:space="preserve"> building repositories and reuse of DDI metadata in the web</w:t>
      </w:r>
      <w:r>
        <w:rPr>
          <w:lang w:val="en-GB"/>
        </w:rPr>
        <w:t>.</w:t>
      </w:r>
    </w:p>
    <w:p w14:paraId="2824C77C" w14:textId="77777777" w:rsidR="00257691" w:rsidRDefault="00D37B87" w:rsidP="00257691">
      <w:pPr>
        <w:pStyle w:val="Listenabsatz"/>
        <w:numPr>
          <w:ilvl w:val="0"/>
          <w:numId w:val="18"/>
        </w:numPr>
        <w:rPr>
          <w:lang w:val="en-GB"/>
        </w:rPr>
      </w:pPr>
      <w:r>
        <w:rPr>
          <w:lang w:val="en-GB"/>
        </w:rPr>
        <w:t>Identify and plan building blocks</w:t>
      </w:r>
      <w:r w:rsidRPr="00D37B87">
        <w:rPr>
          <w:lang w:val="en-GB"/>
        </w:rPr>
        <w:t xml:space="preserve"> for establishing portals for supporting existing and growing DDI metadata repositories</w:t>
      </w:r>
      <w:r>
        <w:rPr>
          <w:lang w:val="en-GB"/>
        </w:rPr>
        <w:t>.</w:t>
      </w:r>
    </w:p>
    <w:p w14:paraId="7495F39B" w14:textId="2605B372" w:rsidR="00851B9A" w:rsidRDefault="00257691" w:rsidP="00257691">
      <w:pPr>
        <w:pStyle w:val="Listenabsatz"/>
        <w:rPr>
          <w:lang w:val="en-GB"/>
        </w:rPr>
      </w:pPr>
      <w:r>
        <w:rPr>
          <w:lang w:val="en-GB"/>
        </w:rPr>
        <w:t xml:space="preserve"> </w:t>
      </w:r>
    </w:p>
    <w:p w14:paraId="35EBD32A" w14:textId="77777777" w:rsidR="00851B9A" w:rsidRPr="009147F8" w:rsidRDefault="00851B9A" w:rsidP="0030333C">
      <w:pPr>
        <w:pStyle w:val="Listenabsatz"/>
        <w:numPr>
          <w:ilvl w:val="0"/>
          <w:numId w:val="4"/>
        </w:numPr>
        <w:rPr>
          <w:b/>
          <w:lang w:val="en-GB"/>
        </w:rPr>
      </w:pPr>
      <w:r w:rsidRPr="009147F8">
        <w:rPr>
          <w:b/>
          <w:lang w:val="en-GB"/>
        </w:rPr>
        <w:t>Long Term Vision for DDI products and processes</w:t>
      </w:r>
    </w:p>
    <w:p w14:paraId="3310B2EC" w14:textId="77777777" w:rsidR="00851B9A" w:rsidRDefault="00851B9A" w:rsidP="00851B9A">
      <w:pPr>
        <w:pStyle w:val="Listenabsatz"/>
        <w:ind w:left="1080"/>
        <w:rPr>
          <w:lang w:val="en-GB"/>
        </w:rPr>
      </w:pPr>
    </w:p>
    <w:p w14:paraId="22ACD836" w14:textId="37593D3B" w:rsidR="00851B9A" w:rsidRPr="00C05037" w:rsidRDefault="00851B9A" w:rsidP="00851B9A">
      <w:pPr>
        <w:rPr>
          <w:lang w:val="en-GB"/>
        </w:rPr>
      </w:pPr>
      <w:r>
        <w:rPr>
          <w:lang w:val="en-GB"/>
        </w:rPr>
        <w:t xml:space="preserve">The issues included in this paragraph </w:t>
      </w:r>
      <w:r w:rsidR="009313DE">
        <w:rPr>
          <w:lang w:val="en-GB"/>
        </w:rPr>
        <w:t xml:space="preserve">reflect </w:t>
      </w:r>
      <w:r>
        <w:rPr>
          <w:lang w:val="en-GB"/>
        </w:rPr>
        <w:t xml:space="preserve">guidelines </w:t>
      </w:r>
      <w:r w:rsidR="009313DE">
        <w:rPr>
          <w:lang w:val="en-GB"/>
        </w:rPr>
        <w:t>for addressing the development of long te</w:t>
      </w:r>
      <w:r w:rsidR="0030333C">
        <w:rPr>
          <w:lang w:val="en-GB"/>
        </w:rPr>
        <w:t>r</w:t>
      </w:r>
      <w:r w:rsidR="009313DE">
        <w:rPr>
          <w:lang w:val="en-GB"/>
        </w:rPr>
        <w:t>m goals for the Scientific Board:</w:t>
      </w:r>
    </w:p>
    <w:p w14:paraId="5BEF463D" w14:textId="77777777" w:rsidR="00851B9A" w:rsidRPr="00401A16" w:rsidRDefault="00851B9A" w:rsidP="00851B9A">
      <w:pPr>
        <w:pStyle w:val="Listenabsatz"/>
        <w:ind w:left="1080"/>
        <w:rPr>
          <w:lang w:val="en-GB"/>
        </w:rPr>
      </w:pPr>
    </w:p>
    <w:p w14:paraId="05667BF6" w14:textId="442A4D29" w:rsidR="00851B9A" w:rsidRDefault="00851B9A" w:rsidP="0030333C">
      <w:pPr>
        <w:pStyle w:val="Listenabsatz"/>
        <w:numPr>
          <w:ilvl w:val="0"/>
          <w:numId w:val="19"/>
        </w:numPr>
        <w:rPr>
          <w:lang w:val="en-GB"/>
        </w:rPr>
      </w:pPr>
      <w:r w:rsidRPr="00D9759A">
        <w:rPr>
          <w:lang w:val="en-GB"/>
        </w:rPr>
        <w:t>T</w:t>
      </w:r>
      <w:r>
        <w:rPr>
          <w:lang w:val="en-GB"/>
        </w:rPr>
        <w:t>he Scientific Board will evaluate</w:t>
      </w:r>
      <w:r w:rsidRPr="00D9759A">
        <w:rPr>
          <w:lang w:val="en-GB"/>
        </w:rPr>
        <w:t xml:space="preserve"> the development </w:t>
      </w:r>
      <w:r w:rsidR="009313DE">
        <w:rPr>
          <w:lang w:val="en-GB"/>
        </w:rPr>
        <w:t>work undertaken in the past 7-10 years</w:t>
      </w:r>
      <w:r>
        <w:rPr>
          <w:lang w:val="en-GB"/>
        </w:rPr>
        <w:t xml:space="preserve"> </w:t>
      </w:r>
      <w:r w:rsidR="009313DE">
        <w:rPr>
          <w:lang w:val="en-GB"/>
        </w:rPr>
        <w:t xml:space="preserve">to both clearly document that work and determine what aspects should be incorporated into one or more products within the DDI Suite of Products </w:t>
      </w:r>
    </w:p>
    <w:p w14:paraId="47AE5220" w14:textId="7EBE58DE" w:rsidR="00851B9A" w:rsidRPr="00D9759A" w:rsidRDefault="00851B9A" w:rsidP="0030333C">
      <w:pPr>
        <w:pStyle w:val="Listenabsatz"/>
        <w:numPr>
          <w:ilvl w:val="0"/>
          <w:numId w:val="19"/>
        </w:numPr>
        <w:rPr>
          <w:lang w:val="en-GB"/>
        </w:rPr>
      </w:pPr>
      <w:r w:rsidRPr="00D9759A">
        <w:rPr>
          <w:lang w:val="en-GB"/>
        </w:rPr>
        <w:t>The Scientific Board</w:t>
      </w:r>
      <w:r>
        <w:rPr>
          <w:lang w:val="en-GB"/>
        </w:rPr>
        <w:t xml:space="preserve"> will establish guidelines and strategies</w:t>
      </w:r>
      <w:r w:rsidRPr="00D9759A">
        <w:rPr>
          <w:lang w:val="en-GB"/>
        </w:rPr>
        <w:t xml:space="preserve"> to improve interoperability</w:t>
      </w:r>
      <w:r w:rsidR="00DC1C32">
        <w:rPr>
          <w:lang w:val="en-GB"/>
        </w:rPr>
        <w:t xml:space="preserve"> and modularity</w:t>
      </w:r>
      <w:r w:rsidRPr="00D9759A">
        <w:rPr>
          <w:lang w:val="en-GB"/>
        </w:rPr>
        <w:t xml:space="preserve"> between th</w:t>
      </w:r>
      <w:r w:rsidR="00DC1C32">
        <w:rPr>
          <w:lang w:val="en-GB"/>
        </w:rPr>
        <w:t>e different versions</w:t>
      </w:r>
      <w:bookmarkStart w:id="0" w:name="_GoBack"/>
      <w:bookmarkEnd w:id="0"/>
    </w:p>
    <w:p w14:paraId="05917397" w14:textId="25DF03CD" w:rsidR="00851B9A" w:rsidRDefault="00851B9A" w:rsidP="0030333C">
      <w:pPr>
        <w:pStyle w:val="Listenabsatz"/>
        <w:numPr>
          <w:ilvl w:val="0"/>
          <w:numId w:val="19"/>
        </w:numPr>
        <w:rPr>
          <w:lang w:val="en-GB"/>
        </w:rPr>
      </w:pPr>
      <w:r>
        <w:rPr>
          <w:lang w:val="en-GB"/>
        </w:rPr>
        <w:t xml:space="preserve">The Scientific Board will </w:t>
      </w:r>
      <w:r w:rsidR="008F2E3E">
        <w:rPr>
          <w:lang w:val="en-GB"/>
        </w:rPr>
        <w:t xml:space="preserve">monitor and provide support for </w:t>
      </w:r>
      <w:r>
        <w:rPr>
          <w:lang w:val="en-GB"/>
        </w:rPr>
        <w:t>the ongoing maintenance of the different products</w:t>
      </w:r>
    </w:p>
    <w:p w14:paraId="380C12CA" w14:textId="77777777" w:rsidR="00851B9A" w:rsidRDefault="00851B9A" w:rsidP="0030333C">
      <w:pPr>
        <w:pStyle w:val="Listenabsatz"/>
        <w:numPr>
          <w:ilvl w:val="0"/>
          <w:numId w:val="19"/>
        </w:numPr>
        <w:rPr>
          <w:lang w:val="en-GB"/>
        </w:rPr>
      </w:pPr>
      <w:r>
        <w:rPr>
          <w:lang w:val="en-GB"/>
        </w:rPr>
        <w:t>The Scientific Board will promote interoperability and collaboration with other metadata standards</w:t>
      </w:r>
    </w:p>
    <w:p w14:paraId="4239AC4B" w14:textId="0A5773E2" w:rsidR="00851B9A" w:rsidRDefault="00851B9A" w:rsidP="0030333C">
      <w:pPr>
        <w:pStyle w:val="Listenabsatz"/>
        <w:numPr>
          <w:ilvl w:val="0"/>
          <w:numId w:val="19"/>
        </w:numPr>
        <w:rPr>
          <w:lang w:val="en-GB"/>
        </w:rPr>
      </w:pPr>
      <w:r>
        <w:rPr>
          <w:lang w:val="en-GB"/>
        </w:rPr>
        <w:t>The Scientific Board will re-ignite the discussion of certifying DDI as an official</w:t>
      </w:r>
      <w:r w:rsidR="008F2E3E">
        <w:rPr>
          <w:lang w:val="en-GB"/>
        </w:rPr>
        <w:t xml:space="preserve"> ISO or similar</w:t>
      </w:r>
      <w:r>
        <w:rPr>
          <w:lang w:val="en-GB"/>
        </w:rPr>
        <w:t xml:space="preserve"> standard</w:t>
      </w:r>
    </w:p>
    <w:p w14:paraId="39939C14" w14:textId="77777777" w:rsidR="00851B9A" w:rsidRDefault="00851B9A" w:rsidP="00851B9A">
      <w:pPr>
        <w:rPr>
          <w:lang w:val="en-GB"/>
        </w:rPr>
      </w:pPr>
    </w:p>
    <w:p w14:paraId="6E39AE97" w14:textId="77777777" w:rsidR="00851B9A" w:rsidRPr="00851B9A" w:rsidRDefault="00851B9A" w:rsidP="0030333C">
      <w:pPr>
        <w:rPr>
          <w:lang w:val="en-GB"/>
        </w:rPr>
      </w:pPr>
    </w:p>
    <w:sectPr w:rsidR="00851B9A" w:rsidRPr="00851B9A">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5D86" w16cex:dateUtc="2021-05-28T17:16:00Z"/>
  <w16cex:commentExtensible w16cex:durableId="245B627A" w16cex:dateUtc="2021-05-28T17:37:00Z"/>
  <w16cex:commentExtensible w16cex:durableId="245BBAFE" w16cex:dateUtc="2021-05-28T23:54:00Z"/>
  <w16cex:commentExtensible w16cex:durableId="245BBB06" w16cex:dateUtc="2021-05-28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0EE942" w16cid:durableId="245B5D86"/>
  <w16cid:commentId w16cid:paraId="4561813A" w16cid:durableId="245B627A"/>
  <w16cid:commentId w16cid:paraId="6A4A2B27" w16cid:durableId="245BBAFE"/>
  <w16cid:commentId w16cid:paraId="2733618C" w16cid:durableId="245BBB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11E"/>
    <w:multiLevelType w:val="hybridMultilevel"/>
    <w:tmpl w:val="DC24FC06"/>
    <w:lvl w:ilvl="0" w:tplc="F3AA5F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EF2995"/>
    <w:multiLevelType w:val="hybridMultilevel"/>
    <w:tmpl w:val="F7B0B946"/>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52D41"/>
    <w:multiLevelType w:val="hybridMultilevel"/>
    <w:tmpl w:val="A88EDF92"/>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61765"/>
    <w:multiLevelType w:val="hybridMultilevel"/>
    <w:tmpl w:val="7916B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02805"/>
    <w:multiLevelType w:val="hybridMultilevel"/>
    <w:tmpl w:val="EE26F176"/>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2927DB"/>
    <w:multiLevelType w:val="hybridMultilevel"/>
    <w:tmpl w:val="05D41608"/>
    <w:lvl w:ilvl="0" w:tplc="A6D239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431A2F"/>
    <w:multiLevelType w:val="hybridMultilevel"/>
    <w:tmpl w:val="832A4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06DB"/>
    <w:multiLevelType w:val="hybridMultilevel"/>
    <w:tmpl w:val="415CE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74417"/>
    <w:multiLevelType w:val="hybridMultilevel"/>
    <w:tmpl w:val="B2C49584"/>
    <w:lvl w:ilvl="0" w:tplc="3F0E6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820DFA"/>
    <w:multiLevelType w:val="hybridMultilevel"/>
    <w:tmpl w:val="D05E276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83444D"/>
    <w:multiLevelType w:val="hybridMultilevel"/>
    <w:tmpl w:val="03E60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E3AE8"/>
    <w:multiLevelType w:val="hybridMultilevel"/>
    <w:tmpl w:val="7722D0A6"/>
    <w:lvl w:ilvl="0" w:tplc="96303E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B56894"/>
    <w:multiLevelType w:val="hybridMultilevel"/>
    <w:tmpl w:val="3AA2D34E"/>
    <w:lvl w:ilvl="0" w:tplc="96BE7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1734A6"/>
    <w:multiLevelType w:val="hybridMultilevel"/>
    <w:tmpl w:val="C62C2918"/>
    <w:lvl w:ilvl="0" w:tplc="4BB6D2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FB2B29"/>
    <w:multiLevelType w:val="hybridMultilevel"/>
    <w:tmpl w:val="0C6A8544"/>
    <w:lvl w:ilvl="0" w:tplc="6854FB4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FB20E2"/>
    <w:multiLevelType w:val="hybridMultilevel"/>
    <w:tmpl w:val="55C00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23433"/>
    <w:multiLevelType w:val="hybridMultilevel"/>
    <w:tmpl w:val="C62C2918"/>
    <w:lvl w:ilvl="0" w:tplc="4BB6D2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E82B18"/>
    <w:multiLevelType w:val="hybridMultilevel"/>
    <w:tmpl w:val="E5CA25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559F0"/>
    <w:multiLevelType w:val="hybridMultilevel"/>
    <w:tmpl w:val="F99ED196"/>
    <w:lvl w:ilvl="0" w:tplc="E2D6AD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6"/>
  </w:num>
  <w:num w:numId="5">
    <w:abstractNumId w:val="11"/>
  </w:num>
  <w:num w:numId="6">
    <w:abstractNumId w:val="18"/>
  </w:num>
  <w:num w:numId="7">
    <w:abstractNumId w:val="14"/>
  </w:num>
  <w:num w:numId="8">
    <w:abstractNumId w:val="17"/>
  </w:num>
  <w:num w:numId="9">
    <w:abstractNumId w:val="9"/>
  </w:num>
  <w:num w:numId="10">
    <w:abstractNumId w:val="15"/>
  </w:num>
  <w:num w:numId="11">
    <w:abstractNumId w:val="7"/>
  </w:num>
  <w:num w:numId="12">
    <w:abstractNumId w:val="13"/>
  </w:num>
  <w:num w:numId="13">
    <w:abstractNumId w:val="6"/>
  </w:num>
  <w:num w:numId="14">
    <w:abstractNumId w:val="10"/>
  </w:num>
  <w:num w:numId="15">
    <w:abstractNumId w:val="0"/>
  </w:num>
  <w:num w:numId="16">
    <w:abstractNumId w:val="3"/>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06"/>
    <w:rsid w:val="000A3584"/>
    <w:rsid w:val="000C0965"/>
    <w:rsid w:val="000C0EC4"/>
    <w:rsid w:val="00107A39"/>
    <w:rsid w:val="00140AD0"/>
    <w:rsid w:val="00180A2E"/>
    <w:rsid w:val="00257691"/>
    <w:rsid w:val="0030333C"/>
    <w:rsid w:val="003E4F53"/>
    <w:rsid w:val="00401A16"/>
    <w:rsid w:val="00415FE4"/>
    <w:rsid w:val="004746DC"/>
    <w:rsid w:val="00493072"/>
    <w:rsid w:val="004F2EEA"/>
    <w:rsid w:val="00760024"/>
    <w:rsid w:val="00794C40"/>
    <w:rsid w:val="008407F3"/>
    <w:rsid w:val="00851B9A"/>
    <w:rsid w:val="008A371D"/>
    <w:rsid w:val="008C7FB1"/>
    <w:rsid w:val="008E626B"/>
    <w:rsid w:val="008F2E3E"/>
    <w:rsid w:val="00902648"/>
    <w:rsid w:val="009147F8"/>
    <w:rsid w:val="009252E0"/>
    <w:rsid w:val="009313DE"/>
    <w:rsid w:val="00A26E20"/>
    <w:rsid w:val="00BA1D06"/>
    <w:rsid w:val="00BB4F06"/>
    <w:rsid w:val="00C05037"/>
    <w:rsid w:val="00C12BCD"/>
    <w:rsid w:val="00C155C5"/>
    <w:rsid w:val="00C24228"/>
    <w:rsid w:val="00CB64E6"/>
    <w:rsid w:val="00D37B87"/>
    <w:rsid w:val="00D86A97"/>
    <w:rsid w:val="00D9759A"/>
    <w:rsid w:val="00DC1C32"/>
    <w:rsid w:val="00E40FFF"/>
    <w:rsid w:val="00EE01E9"/>
    <w:rsid w:val="00F411D0"/>
    <w:rsid w:val="00F62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D5A9"/>
  <w15:chartTrackingRefBased/>
  <w15:docId w15:val="{BE2191E0-D4A7-49F7-9F9F-30E43EE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D06"/>
    <w:pPr>
      <w:ind w:left="720"/>
      <w:contextualSpacing/>
    </w:pPr>
  </w:style>
  <w:style w:type="character" w:styleId="Kommentarzeichen">
    <w:name w:val="annotation reference"/>
    <w:basedOn w:val="Absatz-Standardschriftart"/>
    <w:uiPriority w:val="99"/>
    <w:semiHidden/>
    <w:unhideWhenUsed/>
    <w:rsid w:val="00F6216F"/>
    <w:rPr>
      <w:sz w:val="16"/>
      <w:szCs w:val="16"/>
    </w:rPr>
  </w:style>
  <w:style w:type="paragraph" w:styleId="Kommentartext">
    <w:name w:val="annotation text"/>
    <w:basedOn w:val="Standard"/>
    <w:link w:val="KommentartextZchn"/>
    <w:uiPriority w:val="99"/>
    <w:semiHidden/>
    <w:unhideWhenUsed/>
    <w:rsid w:val="00F62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216F"/>
    <w:rPr>
      <w:sz w:val="20"/>
      <w:szCs w:val="20"/>
    </w:rPr>
  </w:style>
  <w:style w:type="paragraph" w:styleId="Kommentarthema">
    <w:name w:val="annotation subject"/>
    <w:basedOn w:val="Kommentartext"/>
    <w:next w:val="Kommentartext"/>
    <w:link w:val="KommentarthemaZchn"/>
    <w:uiPriority w:val="99"/>
    <w:semiHidden/>
    <w:unhideWhenUsed/>
    <w:rsid w:val="00F6216F"/>
    <w:rPr>
      <w:b/>
      <w:bCs/>
    </w:rPr>
  </w:style>
  <w:style w:type="character" w:customStyle="1" w:styleId="KommentarthemaZchn">
    <w:name w:val="Kommentarthema Zchn"/>
    <w:basedOn w:val="KommentartextZchn"/>
    <w:link w:val="Kommentarthema"/>
    <w:uiPriority w:val="99"/>
    <w:semiHidden/>
    <w:rsid w:val="00F6216F"/>
    <w:rPr>
      <w:b/>
      <w:bCs/>
      <w:sz w:val="20"/>
      <w:szCs w:val="20"/>
    </w:rPr>
  </w:style>
  <w:style w:type="paragraph" w:styleId="Sprechblasentext">
    <w:name w:val="Balloon Text"/>
    <w:basedOn w:val="Standard"/>
    <w:link w:val="SprechblasentextZchn"/>
    <w:uiPriority w:val="99"/>
    <w:semiHidden/>
    <w:unhideWhenUsed/>
    <w:rsid w:val="00F62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216F"/>
    <w:rPr>
      <w:rFonts w:ascii="Segoe UI" w:hAnsi="Segoe UI" w:cs="Segoe UI"/>
      <w:sz w:val="18"/>
      <w:szCs w:val="18"/>
    </w:rPr>
  </w:style>
  <w:style w:type="paragraph" w:styleId="berarbeitung">
    <w:name w:val="Revision"/>
    <w:hidden/>
    <w:uiPriority w:val="99"/>
    <w:semiHidden/>
    <w:rsid w:val="00931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Barkow, Ingo</dc:creator>
  <cp:keywords/>
  <dc:description/>
  <cp:lastModifiedBy>Barkow, Ingo</cp:lastModifiedBy>
  <cp:revision>5</cp:revision>
  <dcterms:created xsi:type="dcterms:W3CDTF">2021-05-31T13:24:00Z</dcterms:created>
  <dcterms:modified xsi:type="dcterms:W3CDTF">2021-05-31T13:35:00Z</dcterms:modified>
</cp:coreProperties>
</file>