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Kndefjgawj principles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Klas, Nick, Deidre, Eric, Flavio, Jay, Gary, Arofan, Wendy, Jared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Capture the meaning of the data at the source (close to the domain expert who understands the domain).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it in understandable model for humans in an integrated sense.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it into form that is machine-processable (so you can interrogate it/query it).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 able to test the semantics of the implementation against the logical model.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principle is when producing models is you create tooling so you can test if they fail.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addition to be testable, models should be implementable.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should make the rules for using something explicit.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should support communities of use and testability by providing a profile mechanism.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Your metadata and data should be identifiable and manageable independent of its encoding.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 gratuitous remodeling.  Maximize reuse; new modeling only when necessary.  (You have to do some work up front to reuse models.)  Document your requirements and justify your choice of the model.</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Document why you did what you did and other models you’ve examined.  Defend your reasoning for not using existing models.  Before modeling, make yourself aware of existing work.  You should learn models before you develop your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steps: Arofan will enhance document.  Gary will then submit/propose to RDA.</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