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64500"/>
          <w:rtl w:val="0"/>
        </w:rPr>
        <w:t xml:space="preserve">DDI Longterm Infrastructure Manifesto: Outline as of 25 October,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Overview (Jared, Katja)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Motivation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00796b"/>
          <w:rtl w:val="0"/>
        </w:rPr>
        <w:t xml:space="preserve">Purpose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Benefits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Benefits to achieve in the infrastructure system: (&amp; other goals)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Automate capture of metadata (reduced costs and time)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Capture better/more complete metadata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Enable new data discovery and analysis tools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data harmonization, comparison and combination tools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Systems that can be used/across organizations; Transparency across organizations across or w/in stages of the life cycle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Encourage interoperability and comparability across studies, domains, and countries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Infrastructure for small scale w/o benefits to overhead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Lower cost of using/entry into DDI infrastructure (barriers to entry)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Faster and more efficient research/data collection design design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Reproducibility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Credit for producing items in the life cycle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Increased use of DDI; tool that’s used at (and enhances) all stages of research w/in  infrastructure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Purpose: support discovery, analysis, preservation, harmonization, reuse to enable future research more easily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Inclusions and exclusions; can incorporate variety of observational data while intersecting with/relying up on other standards as appropriate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Multi-lingual and multi-country environment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455a64"/>
          <w:rtl w:val="0"/>
        </w:rPr>
        <w:t xml:space="preserve">What this document is not/caveats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00796b"/>
          <w:rtl w:val="0"/>
        </w:rPr>
        <w:t xml:space="preserve">Vision for l</w:t>
      </w:r>
      <w:r w:rsidDel="00000000" w:rsidR="00000000" w:rsidRPr="00000000">
        <w:rPr>
          <w:color w:val="c64500"/>
          <w:rtl w:val="0"/>
        </w:rPr>
        <w:t xml:space="preserve">ong te</w:t>
      </w:r>
      <w:r w:rsidDel="00000000" w:rsidR="00000000" w:rsidRPr="00000000">
        <w:rPr>
          <w:color w:val="00796b"/>
          <w:rtl w:val="0"/>
        </w:rPr>
        <w:t xml:space="preserve">rm infrastructure</w:t>
      </w:r>
      <w:r w:rsidDel="00000000" w:rsidR="00000000" w:rsidRPr="00000000">
        <w:rPr>
          <w:color w:val="c64500"/>
          <w:rtl w:val="0"/>
        </w:rPr>
        <w:t xml:space="preserve"> for the social sciences (George)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Example use case: Survey design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3624263" cy="2317437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2317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3671888" cy="226301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2263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4291013" cy="3183876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3183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Integrating DDI into the Data Lifecycle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Element registry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Instrument</w:t>
      </w:r>
      <w:r w:rsidDel="00000000" w:rsidR="00000000" w:rsidRPr="00000000">
        <w:rPr>
          <w:color w:val="c64500"/>
          <w:rtl w:val="0"/>
        </w:rPr>
        <w:t xml:space="preserve"> Design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Data transformation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Archiving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Data Discovery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Data extraction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2185b"/>
          <w:rtl w:val="0"/>
        </w:rPr>
        <w:t xml:space="preserve">Data merge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Data analysis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Lifecycles of other data types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Administrative data</w:t>
      </w:r>
      <w:r w:rsidDel="00000000" w:rsidR="00000000" w:rsidRPr="00000000">
        <w:rPr>
          <w:color w:val="00796b"/>
          <w:rtl w:val="0"/>
        </w:rPr>
        <w:t xml:space="preserve"> (Katy?)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Other</w:t>
      </w:r>
      <w:r w:rsidDel="00000000" w:rsidR="00000000" w:rsidRPr="00000000">
        <w:rPr>
          <w:color w:val="00796b"/>
          <w:rtl w:val="0"/>
        </w:rPr>
        <w:t xml:space="preserve"> data with existing</w:t>
      </w:r>
      <w:r w:rsidDel="00000000" w:rsidR="00000000" w:rsidRPr="00000000">
        <w:rPr>
          <w:color w:val="c64500"/>
          <w:rtl w:val="0"/>
        </w:rPr>
        <w:t xml:space="preserve"> metadata standards (e.g. EHR)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Other object types: images, text</w:t>
      </w:r>
      <w:r w:rsidDel="00000000" w:rsidR="00000000" w:rsidRPr="00000000">
        <w:rPr>
          <w:color w:val="00796b"/>
          <w:rtl w:val="0"/>
        </w:rPr>
        <w:t xml:space="preserve">, video,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Stakeholders (Katy) (includes types (T), needs (N)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producers: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Research, administrative, other; academic, government, other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T: Large-scale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T: Survey designers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T: Academic and government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N: Re-use of existing survey components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N: Design new survey components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N: enable changes in measurement while maintaining comparability over time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N: ability to integrate various types of measures (biometric, open-ended responses, etc.)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T: Survey operations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T: may/may not be one and the same as survey designers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T: Academic, government, and commercial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N: ease of receipt of requirements from designers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N: Reproducibility/transparency (incl. ability to track their work)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Greater efficiency in doing their research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demonstrating use and impact of the data they produce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Discoverability of their data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T: Small-scale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Ability to document their research/create metadata as they do their work w/minimal additional cost of using DDI (i.e., integrating into existing tools they use)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N: Reproducibility/transparency (incl. ability to track their work)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Greater efficiency in doing their research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demonstrating use and impact of the data they produce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N: Discoverability of their data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subjects/survey participants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confidentiality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demonstration of public benefit resulting from their participation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repositories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T: broad, specialized, archives, self-publishing platforms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provide access to data at various levels (given issues of licensing and confidentiality)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Enable discovery and analysis by end-users; incl. enable discovery in tools beyond their own catalogs (e.g., virtual metadata pond, but also linking data and publications)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Preservation (for some)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Richer metadata accompanying deposits, as well as more to be added/tracked throughout their workflows (which will improve ease/speed of processing pipeline and provide a higher-quality product)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demonstrating use and impact of the data they make available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ability to build upon/learn from the work/systems/tools that others have done to better leverage resources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users:: Secondary data users (note: includes academia and beyond (public sector, non- and for-profits, etc.) and people with various levels of skill and expertise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Discovery (known-item and by features (topic, time, geography, etc.)) across multiple data sources and repositories; includes discovery at the variable level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Analysis (remote and on desktop) (given varied skill levels)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Linking and combining datasets from different sources (esp. in new ways)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Comparing change (over time, geography, etc.)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N: Reproducibility/transparency (incl. ability to track their work)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Using data as part of teaching research methods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[placeholder for referencing data producers as data users as well]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Funding agencies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Large-scale national agencies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National Science Foundation (NSF)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National Institutes of Health (NIH)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Deutsche Forschungsgemeinschaft (DFG)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Economic and Social Research Council (ESRC), and potentially others, within the broader umbrella for Research Councils (Department for Business, Energy and Industrial Strategy)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Swiss National Science Foundation (SNF)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Swiss Commission for Technology and Innovation (CTI)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Fill in others here; especially international examples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Large-scale international agencies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European Commission (EC) - especially Horizon 2020 and Eurostars program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Organisation for Economic Co-operation and Development (OECD)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World Bank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Ministries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Private Research Foundations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Alfred P. Sloan Foundation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Wellcome Trust (esp. as relates to biomedical)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Fill in others here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Other Government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Institute of Museum and Library Services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Other   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Universities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standards: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having DDI complement their standard by documenting aspects they don’t cover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(DDI) Tool/service developers (often would live in one of the aforementioned stakeholder organizations):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Having their tools widely known and adopted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Awareness of other tools upon which they can build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Finding collaborators to co-create tools when a need is shared by multiple organizations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Long-term hosting and maintenance of tools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Members of the public: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N: to gain a benefit for society from data gathered and used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Services and Tools (Ingo)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Instrument design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Data creation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Documentation tools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define format for Datum Pond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define format for Metadata Pond (PIDs)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Tools needed for Element Register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Submission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Discovery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Survey Design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Strategies for realizing the vision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Building on existing tools and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Utilizing related standards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Research and demonstration projects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engage stakeholders</w:t>
      </w:r>
      <w:r w:rsidDel="00000000" w:rsidR="00000000" w:rsidRPr="00000000">
        <w:rPr>
          <w:color w:val="c6450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Next steps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Grant application components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Publications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color w:val="c64500"/>
          <w:rtl w:val="0"/>
        </w:rPr>
        <w:t xml:space="preserve">Coordination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4.png"/></Relationships>
</file>