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7" w14:textId="761757E6" w:rsidR="00FC6C2A" w:rsidRDefault="00AD22CF" w:rsidP="00AD22CF">
      <w:pPr>
        <w:pStyle w:val="Heading1"/>
      </w:pPr>
      <w:bookmarkStart w:id="0" w:name="_GoBack"/>
      <w:bookmarkEnd w:id="0"/>
      <w:r>
        <w:t>Scientific Board Operational Guidelines</w:t>
      </w:r>
    </w:p>
    <w:p w14:paraId="27B8F3D1" w14:textId="7D6E6067" w:rsidR="00AD22CF" w:rsidRDefault="00AD22CF"/>
    <w:p w14:paraId="0E755A90" w14:textId="0FC9BAA2" w:rsidR="00AD22CF" w:rsidRPr="00165B6A" w:rsidRDefault="00165B6A">
      <w:pPr>
        <w:rPr>
          <w:i/>
          <w:iCs/>
        </w:rPr>
      </w:pPr>
      <w:r>
        <w:rPr>
          <w:i/>
          <w:iCs/>
        </w:rPr>
        <w:t xml:space="preserve">The Scientific Board should prepare operational guidelines in the following areas for the purpose transparency and codifying </w:t>
      </w:r>
      <w:r w:rsidR="006F6971">
        <w:rPr>
          <w:i/>
          <w:iCs/>
        </w:rPr>
        <w:t>any normalized processes of the Scientific Board</w:t>
      </w:r>
    </w:p>
    <w:p w14:paraId="11251AFE" w14:textId="77777777" w:rsidR="006F6971" w:rsidRDefault="006F6971">
      <w:pPr>
        <w:rPr>
          <w:b/>
        </w:rPr>
      </w:pPr>
    </w:p>
    <w:p w14:paraId="00000008" w14:textId="49099EFD" w:rsidR="00FC6C2A" w:rsidRDefault="006D39EF">
      <w:pPr>
        <w:rPr>
          <w:b/>
        </w:rPr>
      </w:pPr>
      <w:r>
        <w:rPr>
          <w:b/>
        </w:rPr>
        <w:t>Definitions</w:t>
      </w:r>
    </w:p>
    <w:p w14:paraId="00000009" w14:textId="11219124" w:rsidR="00FC6C2A" w:rsidRPr="006F6971" w:rsidRDefault="006F6971">
      <w:pPr>
        <w:rPr>
          <w:i/>
          <w:iCs/>
        </w:rPr>
      </w:pPr>
      <w:r>
        <w:rPr>
          <w:i/>
          <w:iCs/>
        </w:rPr>
        <w:t>Add definitions as required for the understanding of this document</w:t>
      </w:r>
    </w:p>
    <w:p w14:paraId="0000002E" w14:textId="578935E6" w:rsidR="00FC6C2A" w:rsidRDefault="00FC6C2A"/>
    <w:p w14:paraId="0000002F" w14:textId="7315DC8A" w:rsidR="00FC6C2A" w:rsidRDefault="006D39EF">
      <w:pPr>
        <w:rPr>
          <w:b/>
        </w:rPr>
      </w:pPr>
      <w:r>
        <w:rPr>
          <w:b/>
        </w:rPr>
        <w:t>A. Purpose</w:t>
      </w:r>
    </w:p>
    <w:p w14:paraId="0000004E" w14:textId="58FCEF77" w:rsidR="00FC6C2A" w:rsidRPr="006F6971" w:rsidRDefault="006F6971">
      <w:pPr>
        <w:rPr>
          <w:i/>
          <w:iCs/>
        </w:rPr>
      </w:pPr>
      <w:r>
        <w:rPr>
          <w:i/>
          <w:iCs/>
        </w:rPr>
        <w:t>Clarify specific aims and goals of the Scientific Board within the structure provided in the Bylaws</w:t>
      </w:r>
    </w:p>
    <w:p w14:paraId="0000004F" w14:textId="77777777" w:rsidR="00FC6C2A" w:rsidRDefault="00FC6C2A"/>
    <w:p w14:paraId="00000050" w14:textId="28BA9910" w:rsidR="00FC6C2A" w:rsidRDefault="006D39EF">
      <w:pPr>
        <w:rPr>
          <w:b/>
        </w:rPr>
      </w:pPr>
      <w:r>
        <w:rPr>
          <w:b/>
        </w:rPr>
        <w:t xml:space="preserve">B. Organization </w:t>
      </w:r>
    </w:p>
    <w:p w14:paraId="00000051" w14:textId="14CB24CB" w:rsidR="00FC6C2A" w:rsidRDefault="006F6971">
      <w:pPr>
        <w:rPr>
          <w:i/>
          <w:iCs/>
        </w:rPr>
      </w:pPr>
      <w:r>
        <w:rPr>
          <w:i/>
          <w:iCs/>
        </w:rPr>
        <w:t>Internal organization</w:t>
      </w:r>
    </w:p>
    <w:p w14:paraId="504F34B8" w14:textId="0A650AC9" w:rsidR="006F6971" w:rsidRPr="006F6971" w:rsidRDefault="006F6971">
      <w:pPr>
        <w:rPr>
          <w:i/>
          <w:iCs/>
        </w:rPr>
      </w:pPr>
      <w:r>
        <w:rPr>
          <w:i/>
          <w:iCs/>
        </w:rPr>
        <w:t>Details of specific procedures such as the disposition of working group proposals</w:t>
      </w:r>
    </w:p>
    <w:p w14:paraId="00000076" w14:textId="77777777" w:rsidR="00FC6C2A" w:rsidRDefault="00FC6C2A"/>
    <w:p w14:paraId="00000077" w14:textId="668966BB" w:rsidR="00FC6C2A" w:rsidRDefault="006D39EF">
      <w:pPr>
        <w:rPr>
          <w:b/>
        </w:rPr>
      </w:pPr>
      <w:r>
        <w:rPr>
          <w:b/>
        </w:rPr>
        <w:t>C. Elections</w:t>
      </w:r>
    </w:p>
    <w:p w14:paraId="00000078" w14:textId="34A044AC" w:rsidR="00FC6C2A" w:rsidRPr="006F6971" w:rsidRDefault="006F6971">
      <w:pPr>
        <w:rPr>
          <w:i/>
          <w:iCs/>
        </w:rPr>
      </w:pPr>
      <w:r>
        <w:rPr>
          <w:i/>
          <w:iCs/>
        </w:rPr>
        <w:t>Internal voting procedures for Chair and Vice-Chair</w:t>
      </w:r>
      <w:r w:rsidRPr="006F6971">
        <w:rPr>
          <w:i/>
          <w:iCs/>
        </w:rPr>
        <w:t xml:space="preserve"> </w:t>
      </w:r>
      <w:r>
        <w:rPr>
          <w:i/>
          <w:iCs/>
        </w:rPr>
        <w:t>within the structure provided in the Bylaws</w:t>
      </w:r>
    </w:p>
    <w:p w14:paraId="00000082" w14:textId="42489BB9" w:rsidR="00FC6C2A" w:rsidRPr="006F6971" w:rsidRDefault="006F6971">
      <w:pPr>
        <w:rPr>
          <w:b/>
          <w:color w:val="000000"/>
        </w:rPr>
      </w:pPr>
      <w:r w:rsidRPr="006F6971">
        <w:rPr>
          <w:bCs/>
          <w:i/>
          <w:iCs/>
        </w:rPr>
        <w:t>Inter</w:t>
      </w:r>
      <w:r>
        <w:rPr>
          <w:bCs/>
          <w:i/>
          <w:iCs/>
        </w:rPr>
        <w:t>n</w:t>
      </w:r>
      <w:r w:rsidRPr="006F6971">
        <w:rPr>
          <w:bCs/>
          <w:i/>
          <w:iCs/>
        </w:rPr>
        <w:t>al</w:t>
      </w:r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decision making</w:t>
      </w:r>
      <w:proofErr w:type="gramEnd"/>
      <w:r>
        <w:rPr>
          <w:bCs/>
          <w:i/>
          <w:iCs/>
        </w:rPr>
        <w:t xml:space="preserve"> process for other decision making areas </w:t>
      </w:r>
      <w:r w:rsidRPr="006F6971">
        <w:rPr>
          <w:b/>
          <w:color w:val="000000"/>
        </w:rPr>
        <w:t xml:space="preserve"> </w:t>
      </w:r>
    </w:p>
    <w:p w14:paraId="0000008F" w14:textId="7B5E4247" w:rsidR="00FC6C2A" w:rsidRDefault="006D39EF">
      <w:pPr>
        <w:pStyle w:val="Heading3"/>
        <w:rPr>
          <w:b/>
          <w:color w:val="000000"/>
          <w:sz w:val="22"/>
          <w:szCs w:val="22"/>
        </w:rPr>
      </w:pPr>
      <w:bookmarkStart w:id="1" w:name="_6knn5fwo4ei0" w:colFirst="0" w:colLast="0"/>
      <w:bookmarkEnd w:id="1"/>
      <w:r>
        <w:rPr>
          <w:b/>
          <w:color w:val="000000"/>
          <w:sz w:val="22"/>
          <w:szCs w:val="22"/>
        </w:rPr>
        <w:t xml:space="preserve">E. Roles </w:t>
      </w:r>
    </w:p>
    <w:p w14:paraId="00000090" w14:textId="77777777" w:rsidR="00FC6C2A" w:rsidRDefault="00FC6C2A"/>
    <w:p w14:paraId="00000094" w14:textId="4083E722" w:rsidR="00FC6C2A" w:rsidRDefault="006F6971">
      <w:pPr>
        <w:rPr>
          <w:i/>
        </w:rPr>
      </w:pPr>
      <w:r>
        <w:rPr>
          <w:i/>
        </w:rPr>
        <w:t>Suggested for inclusion:</w:t>
      </w:r>
    </w:p>
    <w:p w14:paraId="1F46C91D" w14:textId="77777777" w:rsidR="006F6971" w:rsidRPr="006F6971" w:rsidRDefault="006F6971">
      <w:pPr>
        <w:rPr>
          <w:b/>
          <w:i/>
        </w:rPr>
      </w:pPr>
    </w:p>
    <w:p w14:paraId="00000095" w14:textId="77777777" w:rsidR="00FC6C2A" w:rsidRDefault="006D39EF">
      <w:pPr>
        <w:numPr>
          <w:ilvl w:val="0"/>
          <w:numId w:val="4"/>
        </w:numPr>
      </w:pPr>
      <w:r>
        <w:t>Member organizations will be asked to nominate one or more persons to the following roles - Member Representative, Scientific Representative (as before) and Technical Contact (new).</w:t>
      </w:r>
    </w:p>
    <w:p w14:paraId="00000096" w14:textId="77777777" w:rsidR="00FC6C2A" w:rsidRDefault="006D39EF">
      <w:pPr>
        <w:numPr>
          <w:ilvl w:val="0"/>
          <w:numId w:val="4"/>
        </w:numPr>
      </w:pPr>
      <w:r>
        <w:t>The Member Representative serves as the primary contact to the DDI Alliance in general and especially the Executive Board for organizational questions.</w:t>
      </w:r>
    </w:p>
    <w:p w14:paraId="00000097" w14:textId="77777777" w:rsidR="00FC6C2A" w:rsidRDefault="006D39EF">
      <w:pPr>
        <w:numPr>
          <w:ilvl w:val="0"/>
          <w:numId w:val="4"/>
        </w:numPr>
      </w:pPr>
      <w:r>
        <w:t>The Scientific Representative serves as the contact person for the Scientific Board and related workgroups especially for questions on requirements and future directions.</w:t>
      </w:r>
    </w:p>
    <w:p w14:paraId="00000098" w14:textId="77777777" w:rsidR="00FC6C2A" w:rsidRDefault="006D39EF">
      <w:pPr>
        <w:numPr>
          <w:ilvl w:val="0"/>
          <w:numId w:val="4"/>
        </w:numPr>
      </w:pPr>
      <w:r>
        <w:t>The Technical Contact person is a new role which serves as the contact for the Technical Committee to give inputs to technical implementations of the standard</w:t>
      </w:r>
    </w:p>
    <w:p w14:paraId="00000099" w14:textId="77777777" w:rsidR="00FC6C2A" w:rsidRDefault="006D39EF">
      <w:pPr>
        <w:numPr>
          <w:ilvl w:val="0"/>
          <w:numId w:val="4"/>
        </w:numPr>
      </w:pPr>
      <w:proofErr w:type="gramStart"/>
      <w:r>
        <w:t>All of</w:t>
      </w:r>
      <w:proofErr w:type="gramEnd"/>
      <w:r>
        <w:t xml:space="preserve"> these roles are invited to the annual meeting where the Executive Board and Scientific Board report to the whole Alliance. </w:t>
      </w:r>
    </w:p>
    <w:p w14:paraId="0000009A" w14:textId="77777777" w:rsidR="00FC6C2A" w:rsidRDefault="006D39EF">
      <w:pPr>
        <w:numPr>
          <w:ilvl w:val="0"/>
          <w:numId w:val="4"/>
        </w:numPr>
      </w:pPr>
      <w:r>
        <w:t>The Technical Committee, as a permanent standing committee, reports as a part of the Scientific Board report.</w:t>
      </w:r>
    </w:p>
    <w:p w14:paraId="0000009B" w14:textId="77777777" w:rsidR="00FC6C2A" w:rsidRDefault="006D39EF">
      <w:pPr>
        <w:numPr>
          <w:ilvl w:val="0"/>
          <w:numId w:val="4"/>
        </w:numPr>
      </w:pPr>
      <w:r>
        <w:t xml:space="preserve">During the year all of these roles can be called upon by their respective </w:t>
      </w:r>
      <w:proofErr w:type="gramStart"/>
      <w:r>
        <w:t>higher level</w:t>
      </w:r>
      <w:proofErr w:type="gramEnd"/>
      <w:r>
        <w:t xml:space="preserve"> group (Executive Board, Scientific Board, Technical Committee) to participate in virtual meetings or invitations to working groups</w:t>
      </w:r>
    </w:p>
    <w:p w14:paraId="0000009C" w14:textId="66059E12" w:rsidR="00FC6C2A" w:rsidRDefault="00537CA2">
      <w:pPr>
        <w:numPr>
          <w:ilvl w:val="0"/>
          <w:numId w:val="4"/>
        </w:numPr>
      </w:pPr>
      <w:r>
        <w:lastRenderedPageBreak/>
        <w:t>S</w:t>
      </w:r>
      <w:r w:rsidR="006D39EF">
        <w:t xml:space="preserve">cientific </w:t>
      </w:r>
      <w:r w:rsidR="00F35BC1">
        <w:t>Representative</w:t>
      </w:r>
      <w:r>
        <w:t xml:space="preserve"> within the Member Agency should be designated to provide support and/or input to the Scientific activities of the Alliance. Scientific Contacts should express knowledge in one or more of the following areas:</w:t>
      </w:r>
    </w:p>
    <w:p w14:paraId="0000009D" w14:textId="77777777" w:rsidR="00FC6C2A" w:rsidRDefault="006D39EF">
      <w:pPr>
        <w:numPr>
          <w:ilvl w:val="1"/>
          <w:numId w:val="4"/>
        </w:numPr>
      </w:pPr>
      <w:r>
        <w:t>expert understanding of metadata and what it can do</w:t>
      </w:r>
    </w:p>
    <w:p w14:paraId="0000009E" w14:textId="77777777" w:rsidR="00FC6C2A" w:rsidRDefault="006D39EF">
      <w:pPr>
        <w:numPr>
          <w:ilvl w:val="1"/>
          <w:numId w:val="4"/>
        </w:numPr>
      </w:pPr>
      <w:r>
        <w:t xml:space="preserve">working knowledge of statistical </w:t>
      </w:r>
      <w:proofErr w:type="gramStart"/>
      <w:r>
        <w:t>life-cycle</w:t>
      </w:r>
      <w:proofErr w:type="gramEnd"/>
      <w:r>
        <w:t xml:space="preserve"> and survey methodology</w:t>
      </w:r>
    </w:p>
    <w:p w14:paraId="0000009F" w14:textId="77777777" w:rsidR="00FC6C2A" w:rsidRDefault="006D39EF">
      <w:pPr>
        <w:numPr>
          <w:ilvl w:val="1"/>
          <w:numId w:val="4"/>
        </w:numPr>
      </w:pPr>
      <w:r>
        <w:t>knowledge of future directions in statistical analysis</w:t>
      </w:r>
    </w:p>
    <w:p w14:paraId="000000A0" w14:textId="77777777" w:rsidR="00FC6C2A" w:rsidRDefault="006D39EF">
      <w:pPr>
        <w:numPr>
          <w:ilvl w:val="1"/>
          <w:numId w:val="4"/>
        </w:numPr>
      </w:pPr>
      <w:r>
        <w:t>working knowledge of experimental design</w:t>
      </w:r>
    </w:p>
    <w:p w14:paraId="000000A1" w14:textId="77777777" w:rsidR="00FC6C2A" w:rsidRDefault="006D39EF">
      <w:pPr>
        <w:numPr>
          <w:ilvl w:val="1"/>
          <w:numId w:val="4"/>
        </w:numPr>
      </w:pPr>
      <w:r>
        <w:t>working knowledge of some other (outside social science) data domains</w:t>
      </w:r>
    </w:p>
    <w:p w14:paraId="000000A2" w14:textId="77777777" w:rsidR="00FC6C2A" w:rsidRDefault="006D39EF">
      <w:pPr>
        <w:numPr>
          <w:ilvl w:val="1"/>
          <w:numId w:val="4"/>
        </w:numPr>
      </w:pPr>
      <w:r>
        <w:t>understanding of new data representation techniques</w:t>
      </w:r>
    </w:p>
    <w:p w14:paraId="000000A3" w14:textId="77777777" w:rsidR="00FC6C2A" w:rsidRDefault="006D39EF">
      <w:pPr>
        <w:numPr>
          <w:ilvl w:val="1"/>
          <w:numId w:val="4"/>
        </w:numPr>
      </w:pPr>
      <w:r>
        <w:t>knowledge of data infrastructures</w:t>
      </w:r>
    </w:p>
    <w:p w14:paraId="000000A4" w14:textId="2336780E" w:rsidR="00FC6C2A" w:rsidRDefault="006D39EF">
      <w:pPr>
        <w:numPr>
          <w:ilvl w:val="0"/>
          <w:numId w:val="4"/>
        </w:numPr>
      </w:pPr>
      <w:r>
        <w:t>Technical Contact</w:t>
      </w:r>
      <w:r w:rsidR="00537CA2">
        <w:t>s</w:t>
      </w:r>
      <w:r>
        <w:t xml:space="preserve"> within the Member Agency should be designated to provide support and/or input to the technical activities of the Alliance in the following areas:</w:t>
      </w:r>
    </w:p>
    <w:p w14:paraId="000000A5" w14:textId="77777777" w:rsidR="00FC6C2A" w:rsidRDefault="006D39EF">
      <w:pPr>
        <w:numPr>
          <w:ilvl w:val="1"/>
          <w:numId w:val="4"/>
        </w:numPr>
      </w:pPr>
      <w:r>
        <w:t>Implementation of DDI and other metadata management on a technical level</w:t>
      </w:r>
    </w:p>
    <w:p w14:paraId="000000A6" w14:textId="77777777" w:rsidR="00FC6C2A" w:rsidRDefault="006D39EF">
      <w:pPr>
        <w:numPr>
          <w:ilvl w:val="1"/>
          <w:numId w:val="4"/>
        </w:numPr>
      </w:pPr>
      <w:r>
        <w:t>Modeling in various representations (UML, XML, RDF, JSON, etc.)</w:t>
      </w:r>
    </w:p>
    <w:p w14:paraId="000000A7" w14:textId="77777777" w:rsidR="00FC6C2A" w:rsidRDefault="006D39EF">
      <w:pPr>
        <w:numPr>
          <w:ilvl w:val="1"/>
          <w:numId w:val="4"/>
        </w:numPr>
      </w:pPr>
      <w:r>
        <w:t>Technological changes in data and metadata storage and access</w:t>
      </w:r>
    </w:p>
    <w:p w14:paraId="000000A8" w14:textId="77777777" w:rsidR="00FC6C2A" w:rsidRDefault="006D39EF">
      <w:pPr>
        <w:numPr>
          <w:ilvl w:val="1"/>
          <w:numId w:val="4"/>
        </w:numPr>
      </w:pPr>
      <w:r>
        <w:t xml:space="preserve">Preparation of technical documentation for implementers of DDI </w:t>
      </w:r>
    </w:p>
    <w:p w14:paraId="000000A9" w14:textId="77777777" w:rsidR="00FC6C2A" w:rsidRDefault="006D39EF">
      <w:pPr>
        <w:numPr>
          <w:ilvl w:val="1"/>
          <w:numId w:val="4"/>
        </w:numPr>
        <w:spacing w:after="240"/>
      </w:pPr>
      <w:r>
        <w:t>Technical testing of DDI products and development work</w:t>
      </w:r>
    </w:p>
    <w:sectPr w:rsidR="00FC6C2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5A21" w14:textId="77777777" w:rsidR="00F578D2" w:rsidRDefault="00F578D2">
      <w:pPr>
        <w:spacing w:line="240" w:lineRule="auto"/>
      </w:pPr>
      <w:r>
        <w:separator/>
      </w:r>
    </w:p>
  </w:endnote>
  <w:endnote w:type="continuationSeparator" w:id="0">
    <w:p w14:paraId="30028ABD" w14:textId="77777777" w:rsidR="00F578D2" w:rsidRDefault="00F5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58E8" w14:textId="77777777" w:rsidR="00F578D2" w:rsidRDefault="00F578D2">
      <w:pPr>
        <w:spacing w:line="240" w:lineRule="auto"/>
      </w:pPr>
      <w:r>
        <w:separator/>
      </w:r>
    </w:p>
  </w:footnote>
  <w:footnote w:type="continuationSeparator" w:id="0">
    <w:p w14:paraId="570725AC" w14:textId="77777777" w:rsidR="00F578D2" w:rsidRDefault="00F57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FC6C2A" w:rsidRDefault="00FC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164"/>
    <w:multiLevelType w:val="multilevel"/>
    <w:tmpl w:val="D264F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9C56AA"/>
    <w:multiLevelType w:val="multilevel"/>
    <w:tmpl w:val="F52A0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DC7DC7"/>
    <w:multiLevelType w:val="multilevel"/>
    <w:tmpl w:val="327E5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F9160E"/>
    <w:multiLevelType w:val="multilevel"/>
    <w:tmpl w:val="8BAA8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0A13A8"/>
    <w:multiLevelType w:val="multilevel"/>
    <w:tmpl w:val="8D463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0B7C05"/>
    <w:multiLevelType w:val="multilevel"/>
    <w:tmpl w:val="34DC4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350BB3"/>
    <w:multiLevelType w:val="multilevel"/>
    <w:tmpl w:val="F4C6E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B268F9"/>
    <w:multiLevelType w:val="multilevel"/>
    <w:tmpl w:val="C91E1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4467E5"/>
    <w:multiLevelType w:val="multilevel"/>
    <w:tmpl w:val="29BEC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B1426B"/>
    <w:multiLevelType w:val="multilevel"/>
    <w:tmpl w:val="88BAC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87090D"/>
    <w:multiLevelType w:val="multilevel"/>
    <w:tmpl w:val="B9B6E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4835B4"/>
    <w:multiLevelType w:val="multilevel"/>
    <w:tmpl w:val="08AAB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100B2F"/>
    <w:multiLevelType w:val="multilevel"/>
    <w:tmpl w:val="7652B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914F2A"/>
    <w:multiLevelType w:val="hybridMultilevel"/>
    <w:tmpl w:val="990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2A"/>
    <w:rsid w:val="00165B6A"/>
    <w:rsid w:val="00322F11"/>
    <w:rsid w:val="00537CA2"/>
    <w:rsid w:val="006D39EF"/>
    <w:rsid w:val="006F6971"/>
    <w:rsid w:val="008B4D1C"/>
    <w:rsid w:val="009D3295"/>
    <w:rsid w:val="00AD22CF"/>
    <w:rsid w:val="00BC62D9"/>
    <w:rsid w:val="00F35BC1"/>
    <w:rsid w:val="00F578D2"/>
    <w:rsid w:val="00F84C76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015B"/>
  <w15:docId w15:val="{509F88BB-49A7-4E2E-8F26-A6A4655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 Thomas</cp:lastModifiedBy>
  <cp:revision>2</cp:revision>
  <dcterms:created xsi:type="dcterms:W3CDTF">2020-07-02T15:38:00Z</dcterms:created>
  <dcterms:modified xsi:type="dcterms:W3CDTF">2020-07-02T15:38:00Z</dcterms:modified>
</cp:coreProperties>
</file>